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60" w:rsidRDefault="00550060" w:rsidP="007B34B1">
      <w:pPr>
        <w:pStyle w:val="Title"/>
      </w:pPr>
      <w:bookmarkStart w:id="0" w:name="_Toc339532505"/>
      <w:r>
        <w:t xml:space="preserve">Working Paper </w:t>
      </w:r>
    </w:p>
    <w:p w:rsidR="00355BE5" w:rsidRDefault="005D2AAD" w:rsidP="007B34B1">
      <w:pPr>
        <w:pStyle w:val="Title"/>
      </w:pPr>
      <w:r>
        <w:t>Scale Up of the Management of Acute Malnutrition</w:t>
      </w:r>
      <w:bookmarkEnd w:id="0"/>
    </w:p>
    <w:p w:rsidR="005D2AAD" w:rsidRDefault="00E43BC1">
      <w:r>
        <w:t>December</w:t>
      </w:r>
      <w:r w:rsidR="00151008">
        <w:t xml:space="preserve"> 2012</w:t>
      </w:r>
    </w:p>
    <w:p w:rsidR="00E43BC1" w:rsidRDefault="00E43BC1">
      <w:r>
        <w:t>Draft prepared by UNICEF for:</w:t>
      </w:r>
    </w:p>
    <w:p w:rsidR="00151008" w:rsidRDefault="00151008">
      <w:r>
        <w:t>Ministry of Health, National Maternal and Child Health Center, National Nutrition Program</w:t>
      </w:r>
    </w:p>
    <w:p w:rsidR="00151008" w:rsidRDefault="00151008">
      <w:r>
        <w:t>Nutrition Working Group</w:t>
      </w:r>
    </w:p>
    <w:p w:rsidR="00E43BC1" w:rsidRDefault="00E43BC1"/>
    <w:sdt>
      <w:sdtPr>
        <w:rPr>
          <w:rFonts w:asciiTheme="minorHAnsi" w:eastAsiaTheme="minorEastAsia" w:hAnsiTheme="minorHAnsi" w:cstheme="minorBidi"/>
          <w:b w:val="0"/>
          <w:bCs w:val="0"/>
          <w:color w:val="auto"/>
          <w:sz w:val="22"/>
          <w:szCs w:val="36"/>
          <w:lang w:eastAsia="ko-KR" w:bidi="km-KH"/>
        </w:rPr>
        <w:id w:val="646482587"/>
        <w:docPartObj>
          <w:docPartGallery w:val="Table of Contents"/>
          <w:docPartUnique/>
        </w:docPartObj>
      </w:sdtPr>
      <w:sdtEndPr>
        <w:rPr>
          <w:noProof/>
        </w:rPr>
      </w:sdtEndPr>
      <w:sdtContent>
        <w:p w:rsidR="007B34B1" w:rsidRDefault="007B34B1">
          <w:pPr>
            <w:pStyle w:val="TOCHeading"/>
          </w:pPr>
          <w:r>
            <w:t>Contents</w:t>
          </w:r>
        </w:p>
        <w:p w:rsidR="00266F71" w:rsidRDefault="007B34B1">
          <w:pPr>
            <w:pStyle w:val="TOC2"/>
            <w:tabs>
              <w:tab w:val="right" w:leader="dot" w:pos="9350"/>
            </w:tabs>
            <w:rPr>
              <w:noProof/>
            </w:rPr>
          </w:pPr>
          <w:r>
            <w:fldChar w:fldCharType="begin"/>
          </w:r>
          <w:r>
            <w:instrText xml:space="preserve"> TOC \o "1-3" \h \z \u </w:instrText>
          </w:r>
          <w:r>
            <w:fldChar w:fldCharType="separate"/>
          </w:r>
          <w:hyperlink w:anchor="_Toc339882799" w:history="1">
            <w:r w:rsidR="00266F71" w:rsidRPr="00697E0B">
              <w:rPr>
                <w:rStyle w:val="Hyperlink"/>
                <w:noProof/>
              </w:rPr>
              <w:t>Background</w:t>
            </w:r>
            <w:r w:rsidR="00266F71">
              <w:rPr>
                <w:noProof/>
                <w:webHidden/>
              </w:rPr>
              <w:tab/>
            </w:r>
            <w:r w:rsidR="00266F71">
              <w:rPr>
                <w:noProof/>
                <w:webHidden/>
              </w:rPr>
              <w:fldChar w:fldCharType="begin"/>
            </w:r>
            <w:r w:rsidR="00266F71">
              <w:rPr>
                <w:noProof/>
                <w:webHidden/>
              </w:rPr>
              <w:instrText xml:space="preserve"> PAGEREF _Toc339882799 \h </w:instrText>
            </w:r>
            <w:r w:rsidR="00266F71">
              <w:rPr>
                <w:noProof/>
                <w:webHidden/>
              </w:rPr>
            </w:r>
            <w:r w:rsidR="00266F71">
              <w:rPr>
                <w:noProof/>
                <w:webHidden/>
              </w:rPr>
              <w:fldChar w:fldCharType="separate"/>
            </w:r>
            <w:r w:rsidR="00266F71">
              <w:rPr>
                <w:noProof/>
                <w:webHidden/>
              </w:rPr>
              <w:t>2</w:t>
            </w:r>
            <w:r w:rsidR="00266F71">
              <w:rPr>
                <w:noProof/>
                <w:webHidden/>
              </w:rPr>
              <w:fldChar w:fldCharType="end"/>
            </w:r>
          </w:hyperlink>
        </w:p>
        <w:p w:rsidR="00266F71" w:rsidRDefault="008151E2">
          <w:pPr>
            <w:pStyle w:val="TOC2"/>
            <w:tabs>
              <w:tab w:val="right" w:leader="dot" w:pos="9350"/>
            </w:tabs>
            <w:rPr>
              <w:noProof/>
            </w:rPr>
          </w:pPr>
          <w:hyperlink w:anchor="_Toc339882800" w:history="1">
            <w:r w:rsidR="00266F71" w:rsidRPr="00697E0B">
              <w:rPr>
                <w:rStyle w:val="Hyperlink"/>
                <w:noProof/>
              </w:rPr>
              <w:t>Strategic Targets, Monitoring and Evaluation</w:t>
            </w:r>
            <w:r w:rsidR="00266F71">
              <w:rPr>
                <w:noProof/>
                <w:webHidden/>
              </w:rPr>
              <w:tab/>
            </w:r>
            <w:r w:rsidR="00266F71">
              <w:rPr>
                <w:noProof/>
                <w:webHidden/>
              </w:rPr>
              <w:fldChar w:fldCharType="begin"/>
            </w:r>
            <w:r w:rsidR="00266F71">
              <w:rPr>
                <w:noProof/>
                <w:webHidden/>
              </w:rPr>
              <w:instrText xml:space="preserve"> PAGEREF _Toc339882800 \h </w:instrText>
            </w:r>
            <w:r w:rsidR="00266F71">
              <w:rPr>
                <w:noProof/>
                <w:webHidden/>
              </w:rPr>
            </w:r>
            <w:r w:rsidR="00266F71">
              <w:rPr>
                <w:noProof/>
                <w:webHidden/>
              </w:rPr>
              <w:fldChar w:fldCharType="separate"/>
            </w:r>
            <w:r w:rsidR="00266F71">
              <w:rPr>
                <w:noProof/>
                <w:webHidden/>
              </w:rPr>
              <w:t>4</w:t>
            </w:r>
            <w:r w:rsidR="00266F71">
              <w:rPr>
                <w:noProof/>
                <w:webHidden/>
              </w:rPr>
              <w:fldChar w:fldCharType="end"/>
            </w:r>
          </w:hyperlink>
        </w:p>
        <w:p w:rsidR="00266F71" w:rsidRDefault="008151E2">
          <w:pPr>
            <w:pStyle w:val="TOC2"/>
            <w:tabs>
              <w:tab w:val="right" w:leader="dot" w:pos="9350"/>
            </w:tabs>
            <w:rPr>
              <w:noProof/>
            </w:rPr>
          </w:pPr>
          <w:hyperlink w:anchor="_Toc339882801" w:history="1">
            <w:r w:rsidR="00266F71" w:rsidRPr="00697E0B">
              <w:rPr>
                <w:rStyle w:val="Hyperlink"/>
                <w:noProof/>
              </w:rPr>
              <w:t>Targeted Hospitals</w:t>
            </w:r>
            <w:r w:rsidR="00266F71">
              <w:rPr>
                <w:noProof/>
                <w:webHidden/>
              </w:rPr>
              <w:tab/>
            </w:r>
            <w:r w:rsidR="00266F71">
              <w:rPr>
                <w:noProof/>
                <w:webHidden/>
              </w:rPr>
              <w:fldChar w:fldCharType="begin"/>
            </w:r>
            <w:r w:rsidR="00266F71">
              <w:rPr>
                <w:noProof/>
                <w:webHidden/>
              </w:rPr>
              <w:instrText xml:space="preserve"> PAGEREF _Toc339882801 \h </w:instrText>
            </w:r>
            <w:r w:rsidR="00266F71">
              <w:rPr>
                <w:noProof/>
                <w:webHidden/>
              </w:rPr>
            </w:r>
            <w:r w:rsidR="00266F71">
              <w:rPr>
                <w:noProof/>
                <w:webHidden/>
              </w:rPr>
              <w:fldChar w:fldCharType="separate"/>
            </w:r>
            <w:r w:rsidR="00266F71">
              <w:rPr>
                <w:noProof/>
                <w:webHidden/>
              </w:rPr>
              <w:t>6</w:t>
            </w:r>
            <w:r w:rsidR="00266F71">
              <w:rPr>
                <w:noProof/>
                <w:webHidden/>
              </w:rPr>
              <w:fldChar w:fldCharType="end"/>
            </w:r>
          </w:hyperlink>
        </w:p>
        <w:p w:rsidR="00266F71" w:rsidRDefault="008151E2">
          <w:pPr>
            <w:pStyle w:val="TOC2"/>
            <w:tabs>
              <w:tab w:val="right" w:leader="dot" w:pos="9350"/>
            </w:tabs>
            <w:rPr>
              <w:noProof/>
            </w:rPr>
          </w:pPr>
          <w:hyperlink w:anchor="_Toc339882802" w:history="1">
            <w:r w:rsidR="00266F71" w:rsidRPr="00697E0B">
              <w:rPr>
                <w:rStyle w:val="Hyperlink"/>
                <w:noProof/>
              </w:rPr>
              <w:t>Supply - Equipment Needs</w:t>
            </w:r>
            <w:r w:rsidR="00266F71">
              <w:rPr>
                <w:noProof/>
                <w:webHidden/>
              </w:rPr>
              <w:tab/>
            </w:r>
            <w:r w:rsidR="00266F71">
              <w:rPr>
                <w:noProof/>
                <w:webHidden/>
              </w:rPr>
              <w:fldChar w:fldCharType="begin"/>
            </w:r>
            <w:r w:rsidR="00266F71">
              <w:rPr>
                <w:noProof/>
                <w:webHidden/>
              </w:rPr>
              <w:instrText xml:space="preserve"> PAGEREF _Toc339882802 \h </w:instrText>
            </w:r>
            <w:r w:rsidR="00266F71">
              <w:rPr>
                <w:noProof/>
                <w:webHidden/>
              </w:rPr>
            </w:r>
            <w:r w:rsidR="00266F71">
              <w:rPr>
                <w:noProof/>
                <w:webHidden/>
              </w:rPr>
              <w:fldChar w:fldCharType="separate"/>
            </w:r>
            <w:r w:rsidR="00266F71">
              <w:rPr>
                <w:noProof/>
                <w:webHidden/>
              </w:rPr>
              <w:t>16</w:t>
            </w:r>
            <w:r w:rsidR="00266F71">
              <w:rPr>
                <w:noProof/>
                <w:webHidden/>
              </w:rPr>
              <w:fldChar w:fldCharType="end"/>
            </w:r>
          </w:hyperlink>
        </w:p>
        <w:p w:rsidR="00266F71" w:rsidRDefault="008151E2">
          <w:pPr>
            <w:pStyle w:val="TOC2"/>
            <w:tabs>
              <w:tab w:val="right" w:leader="dot" w:pos="9350"/>
            </w:tabs>
            <w:rPr>
              <w:noProof/>
            </w:rPr>
          </w:pPr>
          <w:hyperlink w:anchor="_Toc339882803" w:history="1">
            <w:r w:rsidR="00266F71" w:rsidRPr="00697E0B">
              <w:rPr>
                <w:rStyle w:val="Hyperlink"/>
                <w:noProof/>
              </w:rPr>
              <w:t>Costing of Future Needs</w:t>
            </w:r>
            <w:r w:rsidR="00266F71">
              <w:rPr>
                <w:noProof/>
                <w:webHidden/>
              </w:rPr>
              <w:tab/>
            </w:r>
            <w:r w:rsidR="00266F71">
              <w:rPr>
                <w:noProof/>
                <w:webHidden/>
              </w:rPr>
              <w:fldChar w:fldCharType="begin"/>
            </w:r>
            <w:r w:rsidR="00266F71">
              <w:rPr>
                <w:noProof/>
                <w:webHidden/>
              </w:rPr>
              <w:instrText xml:space="preserve"> PAGEREF _Toc339882803 \h </w:instrText>
            </w:r>
            <w:r w:rsidR="00266F71">
              <w:rPr>
                <w:noProof/>
                <w:webHidden/>
              </w:rPr>
            </w:r>
            <w:r w:rsidR="00266F71">
              <w:rPr>
                <w:noProof/>
                <w:webHidden/>
              </w:rPr>
              <w:fldChar w:fldCharType="separate"/>
            </w:r>
            <w:r w:rsidR="00266F71">
              <w:rPr>
                <w:noProof/>
                <w:webHidden/>
              </w:rPr>
              <w:t>17</w:t>
            </w:r>
            <w:r w:rsidR="00266F71">
              <w:rPr>
                <w:noProof/>
                <w:webHidden/>
              </w:rPr>
              <w:fldChar w:fldCharType="end"/>
            </w:r>
          </w:hyperlink>
        </w:p>
        <w:p w:rsidR="00266F71" w:rsidRDefault="008151E2">
          <w:pPr>
            <w:pStyle w:val="TOC2"/>
            <w:tabs>
              <w:tab w:val="right" w:leader="dot" w:pos="9350"/>
            </w:tabs>
            <w:rPr>
              <w:noProof/>
            </w:rPr>
          </w:pPr>
          <w:hyperlink w:anchor="_Toc339882804" w:history="1">
            <w:r w:rsidR="00266F71" w:rsidRPr="00697E0B">
              <w:rPr>
                <w:rStyle w:val="Hyperlink"/>
                <w:noProof/>
              </w:rPr>
              <w:t>Next Steps</w:t>
            </w:r>
            <w:r w:rsidR="00266F71">
              <w:rPr>
                <w:noProof/>
                <w:webHidden/>
              </w:rPr>
              <w:tab/>
            </w:r>
            <w:r w:rsidR="00266F71">
              <w:rPr>
                <w:noProof/>
                <w:webHidden/>
              </w:rPr>
              <w:fldChar w:fldCharType="begin"/>
            </w:r>
            <w:r w:rsidR="00266F71">
              <w:rPr>
                <w:noProof/>
                <w:webHidden/>
              </w:rPr>
              <w:instrText xml:space="preserve"> PAGEREF _Toc339882804 \h </w:instrText>
            </w:r>
            <w:r w:rsidR="00266F71">
              <w:rPr>
                <w:noProof/>
                <w:webHidden/>
              </w:rPr>
            </w:r>
            <w:r w:rsidR="00266F71">
              <w:rPr>
                <w:noProof/>
                <w:webHidden/>
              </w:rPr>
              <w:fldChar w:fldCharType="separate"/>
            </w:r>
            <w:r w:rsidR="00266F71">
              <w:rPr>
                <w:noProof/>
                <w:webHidden/>
              </w:rPr>
              <w:t>18</w:t>
            </w:r>
            <w:r w:rsidR="00266F71">
              <w:rPr>
                <w:noProof/>
                <w:webHidden/>
              </w:rPr>
              <w:fldChar w:fldCharType="end"/>
            </w:r>
          </w:hyperlink>
        </w:p>
        <w:p w:rsidR="007B34B1" w:rsidRDefault="007B34B1">
          <w:r>
            <w:rPr>
              <w:b/>
              <w:bCs/>
              <w:noProof/>
            </w:rPr>
            <w:fldChar w:fldCharType="end"/>
          </w:r>
        </w:p>
      </w:sdtContent>
    </w:sdt>
    <w:p w:rsidR="007B34B1" w:rsidRDefault="007B34B1"/>
    <w:p w:rsidR="000A5945" w:rsidRDefault="000A5945">
      <w:r>
        <w:br w:type="page"/>
      </w:r>
    </w:p>
    <w:p w:rsidR="007B34B1" w:rsidRDefault="007B34B1"/>
    <w:p w:rsidR="005D2AAD" w:rsidRPr="008E7E30" w:rsidRDefault="005D2AAD" w:rsidP="008E7E30">
      <w:pPr>
        <w:pStyle w:val="Heading2"/>
      </w:pPr>
      <w:bookmarkStart w:id="1" w:name="_Toc339532506"/>
      <w:bookmarkStart w:id="2" w:name="_Toc339882799"/>
      <w:r>
        <w:t>Background</w:t>
      </w:r>
      <w:bookmarkEnd w:id="1"/>
      <w:bookmarkEnd w:id="2"/>
    </w:p>
    <w:p w:rsidR="008A6473" w:rsidRPr="008E7E30" w:rsidRDefault="008A6473" w:rsidP="005D2AAD">
      <w:r>
        <w:t>This document focuses on treatment of severe acute malnu</w:t>
      </w:r>
      <w:r w:rsidR="00A15D97">
        <w:t xml:space="preserve">trition with therapeutic food provided by the public health sector. Treatment using locally prepared food is not implemented at scale in the country and the lack of operational structure for a community based </w:t>
      </w:r>
      <w:proofErr w:type="spellStart"/>
      <w:r w:rsidR="00A15D97">
        <w:t>programme</w:t>
      </w:r>
      <w:proofErr w:type="spellEnd"/>
      <w:r w:rsidR="00E43BC1">
        <w:t xml:space="preserve"> is a</w:t>
      </w:r>
      <w:r w:rsidR="00A15D97">
        <w:t xml:space="preserve"> major bottleneck to implementing such a </w:t>
      </w:r>
      <w:proofErr w:type="spellStart"/>
      <w:r w:rsidR="00A15D97">
        <w:t>programme</w:t>
      </w:r>
      <w:proofErr w:type="spellEnd"/>
      <w:r w:rsidR="00A15D97">
        <w:t>. Treatment using locally prepared food is therefore not included in this scale-up plan.</w:t>
      </w:r>
      <w:r w:rsidR="008E7E30">
        <w:t xml:space="preserve"> In addition, outpatient treatment from the health center level is currently in pilot phase. This plan does not address scale up of treatment at health center level. The focus of this scale up plan is increasing coverage at hospital level and maintaining current pilots at health center level.</w:t>
      </w:r>
      <w:r w:rsidR="00A15D97">
        <w:t xml:space="preserve"> </w:t>
      </w:r>
      <w:r>
        <w:t xml:space="preserve"> </w:t>
      </w:r>
    </w:p>
    <w:p w:rsidR="005D2AAD" w:rsidRPr="005D2AAD" w:rsidRDefault="005D2AAD" w:rsidP="005D2AAD">
      <w:pPr>
        <w:rPr>
          <w:rFonts w:ascii="Arial" w:hAnsi="Arial" w:cs="Arial"/>
          <w:b/>
          <w:bCs/>
          <w:szCs w:val="22"/>
          <w:u w:val="single"/>
        </w:rPr>
      </w:pPr>
      <w:r w:rsidRPr="005D2AAD">
        <w:rPr>
          <w:rFonts w:ascii="Arial" w:hAnsi="Arial" w:cs="Arial"/>
          <w:b/>
          <w:bCs/>
          <w:szCs w:val="22"/>
          <w:u w:val="single"/>
        </w:rPr>
        <w:t>Hospital</w:t>
      </w:r>
    </w:p>
    <w:p w:rsidR="005D2AAD" w:rsidRPr="005D2AAD" w:rsidRDefault="005D2AAD" w:rsidP="005D2AAD">
      <w:pPr>
        <w:rPr>
          <w:rFonts w:cstheme="minorHAnsi"/>
          <w:szCs w:val="22"/>
        </w:rPr>
      </w:pPr>
      <w:r w:rsidRPr="005D2AAD">
        <w:rPr>
          <w:rFonts w:cstheme="minorHAnsi"/>
          <w:szCs w:val="22"/>
        </w:rPr>
        <w:t xml:space="preserve">Hospital based management of acute malnutrition, in its current form with therapeutic feeding following WHO guidelines, started in the </w:t>
      </w:r>
      <w:proofErr w:type="gramStart"/>
      <w:r w:rsidRPr="005D2AAD">
        <w:rPr>
          <w:rFonts w:cstheme="minorHAnsi"/>
          <w:szCs w:val="22"/>
        </w:rPr>
        <w:t>mid-2000’s</w:t>
      </w:r>
      <w:proofErr w:type="gramEnd"/>
      <w:r w:rsidRPr="005D2AAD">
        <w:rPr>
          <w:rFonts w:cstheme="minorHAnsi"/>
          <w:szCs w:val="22"/>
        </w:rPr>
        <w:t xml:space="preserve"> with support from the Health Sector Support Project and UNICEF. By connecting child malnutrition treatment with HIV services in pediatric wards, UNICEF was able to support the National Nutrition </w:t>
      </w:r>
      <w:proofErr w:type="spellStart"/>
      <w:r w:rsidRPr="005D2AAD">
        <w:rPr>
          <w:rFonts w:cstheme="minorHAnsi"/>
          <w:szCs w:val="22"/>
        </w:rPr>
        <w:t>Programme</w:t>
      </w:r>
      <w:proofErr w:type="spellEnd"/>
      <w:r w:rsidRPr="005D2AAD">
        <w:rPr>
          <w:rFonts w:cstheme="minorHAnsi"/>
          <w:szCs w:val="22"/>
        </w:rPr>
        <w:t xml:space="preserve"> to start scaling up hospital-based management of acute malnutrition. By 2008, 15 hospitals had trained staff and were equipped with necessary supplies, including therapeutic food (F-75, F-100) and specialized oral rehydration solut</w:t>
      </w:r>
      <w:r w:rsidR="00AA1BCE">
        <w:rPr>
          <w:rFonts w:cstheme="minorHAnsi"/>
          <w:szCs w:val="22"/>
        </w:rPr>
        <w:t>ion (</w:t>
      </w:r>
      <w:proofErr w:type="spellStart"/>
      <w:r w:rsidR="00AA1BCE">
        <w:rPr>
          <w:rFonts w:cstheme="minorHAnsi"/>
          <w:szCs w:val="22"/>
        </w:rPr>
        <w:t>ReSoMal</w:t>
      </w:r>
      <w:proofErr w:type="spellEnd"/>
      <w:r w:rsidR="00AA1BCE">
        <w:rPr>
          <w:rFonts w:cstheme="minorHAnsi"/>
          <w:szCs w:val="22"/>
        </w:rPr>
        <w:t>). From 2008 to 2012</w:t>
      </w:r>
      <w:r w:rsidRPr="005D2AAD">
        <w:rPr>
          <w:rFonts w:cstheme="minorHAnsi"/>
          <w:szCs w:val="22"/>
        </w:rPr>
        <w:t xml:space="preserve"> the number of implementing hospitals has dou</w:t>
      </w:r>
      <w:r w:rsidRPr="00AA1BCE">
        <w:rPr>
          <w:rFonts w:cstheme="minorHAnsi"/>
          <w:szCs w:val="22"/>
        </w:rPr>
        <w:t xml:space="preserve">bled and currently </w:t>
      </w:r>
      <w:r w:rsidR="00AA1BCE" w:rsidRPr="00AA1BCE">
        <w:rPr>
          <w:rFonts w:cstheme="minorHAnsi"/>
          <w:szCs w:val="22"/>
        </w:rPr>
        <w:t>43% of target hospitals (32 out of 73</w:t>
      </w:r>
      <w:r w:rsidRPr="00AA1BCE">
        <w:rPr>
          <w:rFonts w:cstheme="minorHAnsi"/>
          <w:szCs w:val="22"/>
        </w:rPr>
        <w:t>)</w:t>
      </w:r>
      <w:r w:rsidRPr="005D2AAD">
        <w:rPr>
          <w:rFonts w:cstheme="minorHAnsi"/>
          <w:szCs w:val="22"/>
        </w:rPr>
        <w:t xml:space="preserve"> in Cambodia provide treatment.</w:t>
      </w:r>
      <w:r>
        <w:rPr>
          <w:rFonts w:cstheme="minorHAnsi"/>
          <w:szCs w:val="22"/>
        </w:rPr>
        <w:t xml:space="preserve"> Implementing hospitals have been trained with an adapted and translated version of the WHO Tra</w:t>
      </w:r>
      <w:r w:rsidR="00390765">
        <w:rPr>
          <w:rFonts w:cstheme="minorHAnsi"/>
          <w:szCs w:val="22"/>
        </w:rPr>
        <w:t xml:space="preserve">ining and treatment is included in the 2011 </w:t>
      </w:r>
      <w:proofErr w:type="spellStart"/>
      <w:r w:rsidR="00390765">
        <w:rPr>
          <w:rFonts w:cstheme="minorHAnsi"/>
          <w:szCs w:val="22"/>
        </w:rPr>
        <w:t>MoH</w:t>
      </w:r>
      <w:proofErr w:type="spellEnd"/>
      <w:r w:rsidR="00390765">
        <w:rPr>
          <w:rFonts w:cstheme="minorHAnsi"/>
          <w:szCs w:val="22"/>
        </w:rPr>
        <w:t xml:space="preserve"> Interim Guidelines on the Management of Acute Malnutrition and the 2012 revision of the </w:t>
      </w:r>
      <w:proofErr w:type="spellStart"/>
      <w:r w:rsidR="00390765">
        <w:rPr>
          <w:rFonts w:cstheme="minorHAnsi"/>
          <w:szCs w:val="22"/>
        </w:rPr>
        <w:t>MoH</w:t>
      </w:r>
      <w:proofErr w:type="spellEnd"/>
      <w:r w:rsidR="00390765">
        <w:rPr>
          <w:rFonts w:cstheme="minorHAnsi"/>
          <w:szCs w:val="22"/>
        </w:rPr>
        <w:t xml:space="preserve"> Clinical Practice Guidelines.</w:t>
      </w:r>
      <w:r w:rsidRPr="005D2AAD">
        <w:rPr>
          <w:rFonts w:cstheme="minorHAnsi"/>
          <w:szCs w:val="22"/>
        </w:rPr>
        <w:t xml:space="preserve">  </w:t>
      </w:r>
    </w:p>
    <w:p w:rsidR="005D2AAD" w:rsidRPr="005D2AAD" w:rsidRDefault="005D2AAD" w:rsidP="005D2AAD">
      <w:pPr>
        <w:rPr>
          <w:rFonts w:cstheme="minorHAnsi"/>
          <w:szCs w:val="22"/>
        </w:rPr>
      </w:pPr>
      <w:r w:rsidRPr="005D2AAD">
        <w:rPr>
          <w:rFonts w:cstheme="minorHAnsi"/>
          <w:szCs w:val="22"/>
        </w:rPr>
        <w:t xml:space="preserve">While the </w:t>
      </w:r>
      <w:proofErr w:type="spellStart"/>
      <w:r w:rsidRPr="005D2AAD">
        <w:rPr>
          <w:rFonts w:cstheme="minorHAnsi"/>
          <w:szCs w:val="22"/>
        </w:rPr>
        <w:t>programme</w:t>
      </w:r>
      <w:proofErr w:type="spellEnd"/>
      <w:r w:rsidRPr="005D2AAD">
        <w:rPr>
          <w:rFonts w:cstheme="minorHAnsi"/>
          <w:szCs w:val="22"/>
        </w:rPr>
        <w:t xml:space="preserve"> has undoubtedly saved many lives since its introduction, program success has been hampered by a high percentage of children not completely recovering b</w:t>
      </w:r>
      <w:r w:rsidR="00504693">
        <w:rPr>
          <w:rFonts w:cstheme="minorHAnsi"/>
          <w:szCs w:val="22"/>
        </w:rPr>
        <w:t>efore being “lost to follow up.”</w:t>
      </w:r>
      <w:r w:rsidRPr="005D2AAD">
        <w:rPr>
          <w:rFonts w:cstheme="minorHAnsi"/>
          <w:szCs w:val="22"/>
        </w:rPr>
        <w:t xml:space="preserve"> These children were likely to become severely malnourished again and would probably suffer from irreversible stunting because they would not return to a normal growth pattern. The main reason for not completing treatment was that caretakers could not afford to stay in hospital for the required time and there was no take-home ration. The development of an appropriate take-home ration, ready-to-use therapeutic food (RUTF), was a potential solution. In 2009 the Clinton Foundation (CHAI) trialed the use of </w:t>
      </w:r>
      <w:proofErr w:type="spellStart"/>
      <w:r w:rsidRPr="005D2AAD">
        <w:rPr>
          <w:rFonts w:cstheme="minorHAnsi"/>
          <w:szCs w:val="22"/>
        </w:rPr>
        <w:t>PlumpyNut</w:t>
      </w:r>
      <w:proofErr w:type="spellEnd"/>
      <w:r w:rsidRPr="005D2AAD">
        <w:rPr>
          <w:rFonts w:cstheme="minorHAnsi"/>
          <w:szCs w:val="22"/>
        </w:rPr>
        <w:t xml:space="preserve">, but the taste was found to be unacceptable. The following year UNICEF, Magna, and the NNP carried out an acceptability trial of BP-100, which was found to be acceptable and was introduced with support from UNICEF as a regular part of hospital based management of acute malnutrition in 2012. This year UNICEF also started direct transport support to caretakers for three follow up visits to receive a health check and the take home ration of BP-100. Monitoring reports show dramatic improvement in treatment completion as well as an increased number of cases. There is mounting anecdotal evidence that caretakers with children that have received malnutrition treatment are now promoting the service within their communities.   </w:t>
      </w:r>
    </w:p>
    <w:p w:rsidR="005D2AAD" w:rsidRPr="005D2AAD" w:rsidRDefault="005D2AAD" w:rsidP="005D2AAD">
      <w:pPr>
        <w:rPr>
          <w:rFonts w:cstheme="minorHAnsi"/>
          <w:szCs w:val="22"/>
        </w:rPr>
      </w:pPr>
      <w:r w:rsidRPr="005D2AAD">
        <w:rPr>
          <w:rFonts w:cstheme="minorHAnsi"/>
          <w:szCs w:val="22"/>
        </w:rPr>
        <w:t xml:space="preserve">In 2012, only four new hospitals (all with Health Equity Funds) were added to the </w:t>
      </w:r>
      <w:proofErr w:type="spellStart"/>
      <w:r w:rsidRPr="005D2AAD">
        <w:rPr>
          <w:rFonts w:cstheme="minorHAnsi"/>
          <w:szCs w:val="22"/>
        </w:rPr>
        <w:t>programme</w:t>
      </w:r>
      <w:proofErr w:type="spellEnd"/>
      <w:r w:rsidRPr="005D2AAD">
        <w:rPr>
          <w:rFonts w:cstheme="minorHAnsi"/>
          <w:szCs w:val="22"/>
        </w:rPr>
        <w:t xml:space="preserve"> in order to focus more on quality and sustainable financing. Meanwhile, UNICEF continues to provide operational </w:t>
      </w:r>
      <w:r w:rsidRPr="005D2AAD">
        <w:rPr>
          <w:rFonts w:cstheme="minorHAnsi"/>
          <w:szCs w:val="22"/>
        </w:rPr>
        <w:lastRenderedPageBreak/>
        <w:t xml:space="preserve">support, start-up equipment, therapeutic food and oral rehydration solution to all implementing hospitals through its support to pediatric HIV and from the UN Joint </w:t>
      </w:r>
      <w:proofErr w:type="spellStart"/>
      <w:r w:rsidRPr="005D2AAD">
        <w:rPr>
          <w:rFonts w:cstheme="minorHAnsi"/>
          <w:szCs w:val="22"/>
        </w:rPr>
        <w:t>Programme</w:t>
      </w:r>
      <w:proofErr w:type="spellEnd"/>
      <w:r w:rsidRPr="005D2AAD">
        <w:rPr>
          <w:rFonts w:cstheme="minorHAnsi"/>
          <w:szCs w:val="22"/>
        </w:rPr>
        <w:t xml:space="preserve"> on Children, Food Security and Nutrition. The increased costs for transport support and ready-to-use therapeutic food, along with necessary support to ensure the quality of the </w:t>
      </w:r>
      <w:proofErr w:type="spellStart"/>
      <w:r w:rsidRPr="005D2AAD">
        <w:rPr>
          <w:rFonts w:cstheme="minorHAnsi"/>
          <w:szCs w:val="22"/>
        </w:rPr>
        <w:t>programme</w:t>
      </w:r>
      <w:proofErr w:type="spellEnd"/>
      <w:r w:rsidRPr="005D2AAD">
        <w:rPr>
          <w:rFonts w:cstheme="minorHAnsi"/>
          <w:szCs w:val="22"/>
        </w:rPr>
        <w:t xml:space="preserve">, makes the overreliance on UNICEF budget a major bottleneck to further scale-up of the </w:t>
      </w:r>
      <w:proofErr w:type="spellStart"/>
      <w:r w:rsidRPr="005D2AAD">
        <w:rPr>
          <w:rFonts w:cstheme="minorHAnsi"/>
          <w:szCs w:val="22"/>
        </w:rPr>
        <w:t>programme</w:t>
      </w:r>
      <w:proofErr w:type="spellEnd"/>
      <w:r w:rsidRPr="005D2AAD">
        <w:rPr>
          <w:rFonts w:cstheme="minorHAnsi"/>
          <w:szCs w:val="22"/>
        </w:rPr>
        <w:t xml:space="preserve">. However, to address this, both URC and UNICEF successfully advocated for inclusion of all of the elements of malnutrition treatment in the HEF Standardized Benefits Package, including transport support for three follow up visits. </w:t>
      </w:r>
      <w:r w:rsidRPr="00E205F2">
        <w:rPr>
          <w:rFonts w:cstheme="minorHAnsi"/>
          <w:b/>
          <w:bCs/>
          <w:szCs w:val="22"/>
        </w:rPr>
        <w:t>Thus, provider payment and caretaker support from the Health Equity Fund will now allow quality scale-up of the program, but only if the treatment commodities are available and both providers and patients access support from Health Equity Fund</w:t>
      </w:r>
      <w:r w:rsidRPr="005D2AAD">
        <w:rPr>
          <w:rFonts w:cstheme="minorHAnsi"/>
          <w:szCs w:val="22"/>
        </w:rPr>
        <w:t>.</w:t>
      </w:r>
      <w:r w:rsidR="00A15D97">
        <w:rPr>
          <w:rFonts w:cstheme="minorHAnsi"/>
          <w:szCs w:val="22"/>
        </w:rPr>
        <w:t xml:space="preserve"> In 2012 indicators on malnutrition identification were included in Service Delivery Grant Contracts of a number of hospitals. This does not appear to have had an impact on </w:t>
      </w:r>
      <w:proofErr w:type="spellStart"/>
      <w:r w:rsidR="00A15D97">
        <w:rPr>
          <w:rFonts w:cstheme="minorHAnsi"/>
          <w:szCs w:val="22"/>
        </w:rPr>
        <w:t>programme</w:t>
      </w:r>
      <w:proofErr w:type="spellEnd"/>
      <w:r w:rsidR="00A15D97">
        <w:rPr>
          <w:rFonts w:cstheme="minorHAnsi"/>
          <w:szCs w:val="22"/>
        </w:rPr>
        <w:t xml:space="preserve"> coverage or quality. </w:t>
      </w:r>
      <w:r w:rsidRPr="005D2AAD">
        <w:rPr>
          <w:rFonts w:cstheme="minorHAnsi"/>
          <w:szCs w:val="22"/>
        </w:rPr>
        <w:t xml:space="preserve">  </w:t>
      </w:r>
      <w:r w:rsidR="00E64ED7">
        <w:rPr>
          <w:noProof/>
        </w:rPr>
        <w:drawing>
          <wp:anchor distT="0" distB="0" distL="114300" distR="114300" simplePos="0" relativeHeight="251661312" behindDoc="0" locked="1" layoutInCell="1" allowOverlap="1" wp14:anchorId="5F29D27B" wp14:editId="627CA82D">
            <wp:simplePos x="0" y="0"/>
            <wp:positionH relativeFrom="margin">
              <wp:posOffset>2343150</wp:posOffset>
            </wp:positionH>
            <wp:positionV relativeFrom="margin">
              <wp:posOffset>304800</wp:posOffset>
            </wp:positionV>
            <wp:extent cx="3819525" cy="2524125"/>
            <wp:effectExtent l="0" t="0" r="9525" b="952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5D2AAD" w:rsidRPr="005D2AAD" w:rsidRDefault="005D2AAD" w:rsidP="005D2AAD">
      <w:pPr>
        <w:rPr>
          <w:rFonts w:cstheme="minorHAnsi"/>
          <w:szCs w:val="22"/>
        </w:rPr>
      </w:pPr>
      <w:r w:rsidRPr="005D2AAD">
        <w:rPr>
          <w:rFonts w:cstheme="minorHAnsi"/>
          <w:szCs w:val="22"/>
        </w:rPr>
        <w:t xml:space="preserve">Government budget is already used for malnutrition services, specifically for staff costs, storage/transport of supply, antibiotics and micronutrients. </w:t>
      </w:r>
      <w:r w:rsidRPr="00E205F2">
        <w:rPr>
          <w:rFonts w:cstheme="minorHAnsi"/>
          <w:b/>
          <w:bCs/>
          <w:szCs w:val="22"/>
        </w:rPr>
        <w:t xml:space="preserve">F75, F100, and </w:t>
      </w:r>
      <w:proofErr w:type="spellStart"/>
      <w:r w:rsidRPr="00E205F2">
        <w:rPr>
          <w:rFonts w:cstheme="minorHAnsi"/>
          <w:b/>
          <w:bCs/>
          <w:szCs w:val="22"/>
        </w:rPr>
        <w:t>ReSoMal</w:t>
      </w:r>
      <w:proofErr w:type="spellEnd"/>
      <w:r w:rsidRPr="00E205F2">
        <w:rPr>
          <w:rFonts w:cstheme="minorHAnsi"/>
          <w:b/>
          <w:bCs/>
          <w:szCs w:val="22"/>
        </w:rPr>
        <w:t xml:space="preserve"> are now included on the Essential Drugs List and the National Nutrition Program has requested procurement with government budget</w:t>
      </w:r>
      <w:r w:rsidRPr="005D2AAD">
        <w:rPr>
          <w:rFonts w:cstheme="minorHAnsi"/>
          <w:szCs w:val="22"/>
        </w:rPr>
        <w:t xml:space="preserve">. The cost of commodities on the Essential Drugs List is not a barrier to scale-up and is small relative to the cost of ready-to-use therapeutic food, which is not on the Essential Drugs List. Further, the limited number of suppliers of an acceptable RUTF makes government procurement unlikely in the short term. If more suppliers are available and RUTF is included in the Essential Drugs List in 2014, government procurement could start in 2015. </w:t>
      </w:r>
      <w:r w:rsidRPr="00E205F2">
        <w:rPr>
          <w:rFonts w:cstheme="minorHAnsi"/>
          <w:b/>
          <w:bCs/>
          <w:szCs w:val="22"/>
        </w:rPr>
        <w:t>RUTF production in Vietnam is currently being certified</w:t>
      </w:r>
      <w:r w:rsidR="00E43BC1">
        <w:rPr>
          <w:rFonts w:cstheme="minorHAnsi"/>
          <w:b/>
          <w:bCs/>
          <w:szCs w:val="22"/>
        </w:rPr>
        <w:t xml:space="preserve"> and IRD (France) is exploring the possibility of production in Cambodia</w:t>
      </w:r>
      <w:r w:rsidRPr="00E205F2">
        <w:rPr>
          <w:rFonts w:cstheme="minorHAnsi"/>
          <w:b/>
          <w:bCs/>
          <w:szCs w:val="22"/>
        </w:rPr>
        <w:t>; th</w:t>
      </w:r>
      <w:r w:rsidR="00E43BC1">
        <w:rPr>
          <w:rFonts w:cstheme="minorHAnsi"/>
          <w:b/>
          <w:bCs/>
          <w:szCs w:val="22"/>
        </w:rPr>
        <w:t>ese are both potential future suppliers.</w:t>
      </w:r>
    </w:p>
    <w:p w:rsidR="005D2AAD" w:rsidRPr="005D2AAD" w:rsidRDefault="005D2AAD" w:rsidP="005D2AAD">
      <w:pPr>
        <w:rPr>
          <w:rFonts w:ascii="Arial" w:hAnsi="Arial" w:cs="Arial"/>
          <w:b/>
          <w:bCs/>
          <w:szCs w:val="22"/>
          <w:u w:val="single"/>
        </w:rPr>
      </w:pPr>
      <w:r w:rsidRPr="005D2AAD">
        <w:rPr>
          <w:rFonts w:ascii="Arial" w:hAnsi="Arial" w:cs="Arial"/>
          <w:b/>
          <w:bCs/>
          <w:szCs w:val="22"/>
          <w:u w:val="single"/>
        </w:rPr>
        <w:t>Health Center</w:t>
      </w:r>
    </w:p>
    <w:p w:rsidR="007B34B1" w:rsidRDefault="005D2AAD" w:rsidP="005D2AAD">
      <w:r>
        <w:t>An acceptable RUTF also allows t</w:t>
      </w:r>
      <w:r w:rsidR="008A6473">
        <w:t>herapeutic feeding and treatment</w:t>
      </w:r>
      <w:r>
        <w:t xml:space="preserve"> of </w:t>
      </w:r>
      <w:r w:rsidR="00390765">
        <w:t>severe acute malnutrition without complications from the health center OPD; globally 90% of severe acute malnutrition cases are thought to be without complications.</w:t>
      </w:r>
      <w:r w:rsidR="007B34B1">
        <w:t xml:space="preserve"> UNICEF recommends implementing at the health center and community level when moderate and severe acute malnutrition rates are above 10%. In Cambodia it was decided to implement because acute malnutrition rates were not improving and the current rate is just above the cutoff, at 10.9%.</w:t>
      </w:r>
      <w:r w:rsidR="00390765">
        <w:t xml:space="preserve"> </w:t>
      </w:r>
    </w:p>
    <w:p w:rsidR="008A6473" w:rsidRDefault="00390765" w:rsidP="005D2AAD">
      <w:r>
        <w:lastRenderedPageBreak/>
        <w:t xml:space="preserve">Under the UN Joint </w:t>
      </w:r>
      <w:proofErr w:type="spellStart"/>
      <w:r>
        <w:t>Programme</w:t>
      </w:r>
      <w:proofErr w:type="spellEnd"/>
      <w:r>
        <w:t xml:space="preserve"> on Children, Food Security and Nutrition piloting of treatment through HC OPD started in 2010 in 5 health centers in Kampong </w:t>
      </w:r>
      <w:proofErr w:type="spellStart"/>
      <w:r>
        <w:t>Speu</w:t>
      </w:r>
      <w:proofErr w:type="spellEnd"/>
      <w:r>
        <w:t xml:space="preserve">. In 2011 and 2012 the pilot was expanded to 14 additional health centers in Kampong </w:t>
      </w:r>
      <w:proofErr w:type="spellStart"/>
      <w:r>
        <w:t>Speu</w:t>
      </w:r>
      <w:proofErr w:type="spellEnd"/>
      <w:r>
        <w:t xml:space="preserve">, 5 health centers in </w:t>
      </w:r>
      <w:proofErr w:type="spellStart"/>
      <w:r>
        <w:t>Svay</w:t>
      </w:r>
      <w:proofErr w:type="spellEnd"/>
      <w:r>
        <w:t xml:space="preserve"> </w:t>
      </w:r>
      <w:proofErr w:type="spellStart"/>
      <w:r>
        <w:t>Rieng</w:t>
      </w:r>
      <w:proofErr w:type="spellEnd"/>
      <w:r>
        <w:t xml:space="preserve">, and </w:t>
      </w:r>
      <w:r w:rsidR="00374FF6">
        <w:t>23 health centers in NGOs RACHA (8) and MAGNA (15) target areas</w:t>
      </w:r>
      <w:r w:rsidR="00374FF6">
        <w:rPr>
          <w:rStyle w:val="FootnoteReference"/>
        </w:rPr>
        <w:footnoteReference w:id="1"/>
      </w:r>
      <w:r w:rsidR="00374FF6">
        <w:t>.</w:t>
      </w:r>
      <w:r w:rsidR="008A6473">
        <w:t xml:space="preserve"> </w:t>
      </w:r>
      <w:r w:rsidR="008E7E30">
        <w:t xml:space="preserve">All implementing health centers receive supply procured by UNICEF and distributed through the government system. Implementation has also included mass screenings at the community level to identify cases of acute malnutrition. </w:t>
      </w:r>
    </w:p>
    <w:p w:rsidR="007B34B1" w:rsidRDefault="008A6473" w:rsidP="005D2AAD">
      <w:r>
        <w:t>At the policy level HC OPD treatment of malnutrition is included in the 2011 Interim Guidelines on the Management of Acute Malnutrition and in the 2011 revision of the Integrated Management of Childhood Illnesses.</w:t>
      </w:r>
      <w:r w:rsidR="008E7E30">
        <w:t xml:space="preserve"> It is also included in MPA 10. Treatment at the HC level has not been</w:t>
      </w:r>
      <w:r w:rsidR="00E205F2">
        <w:t xml:space="preserve"> directly</w:t>
      </w:r>
      <w:r w:rsidR="008E7E30">
        <w:t xml:space="preserve"> included in any provider payment schemes; most notably it is absent from the GAVI support to IMCI.</w:t>
      </w:r>
      <w:r w:rsidR="00E205F2">
        <w:t xml:space="preserve"> Identification and treatment/referral are included under a case-based payment from Health Equity Fund to the health center, but this is expected to have limited impact as the rate of reimbursement is small and transport support to the health center is not provided (cost of transport is more of a barrier to accessing services at the health center level than the user fee)</w:t>
      </w:r>
      <w:r w:rsidR="008E7E30">
        <w:t xml:space="preserve"> </w:t>
      </w:r>
      <w:r w:rsidR="008E7E30" w:rsidRPr="00E205F2">
        <w:rPr>
          <w:b/>
          <w:bCs/>
        </w:rPr>
        <w:t>Community level identification is currently not included in Outreach Guidelines or the Community Participation Policy</w:t>
      </w:r>
      <w:r w:rsidR="008E7E30" w:rsidRPr="00A947D1">
        <w:rPr>
          <w:b/>
          <w:bCs/>
        </w:rPr>
        <w:t>.</w:t>
      </w:r>
      <w:r w:rsidR="00504693" w:rsidRPr="00A947D1">
        <w:rPr>
          <w:b/>
          <w:bCs/>
        </w:rPr>
        <w:t xml:space="preserve"> The lack of </w:t>
      </w:r>
      <w:r w:rsidR="00A947D1" w:rsidRPr="00A947D1">
        <w:rPr>
          <w:b/>
          <w:bCs/>
        </w:rPr>
        <w:t xml:space="preserve">identification at the community and in health center OPD limits the ability of hospitals to achieve high coverage. </w:t>
      </w:r>
      <w:r w:rsidR="00A947D1">
        <w:rPr>
          <w:b/>
          <w:bCs/>
        </w:rPr>
        <w:t xml:space="preserve"> </w:t>
      </w:r>
      <w:r w:rsidR="00A947D1" w:rsidRPr="00A947D1">
        <w:t xml:space="preserve">The National Nutrition </w:t>
      </w:r>
      <w:proofErr w:type="spellStart"/>
      <w:r w:rsidR="00A947D1" w:rsidRPr="00A947D1">
        <w:t>Programme</w:t>
      </w:r>
      <w:proofErr w:type="spellEnd"/>
      <w:r w:rsidR="00A947D1" w:rsidRPr="00A947D1">
        <w:t xml:space="preserve"> is starting to address this by training the OPD closest to implementing hospitals to identify and refer child malnutrition.</w:t>
      </w:r>
      <w:r w:rsidR="00A947D1">
        <w:t xml:space="preserve"> </w:t>
      </w:r>
      <w:r w:rsidR="00A947D1" w:rsidRPr="00A947D1">
        <w:rPr>
          <w:b/>
          <w:bCs/>
        </w:rPr>
        <w:t>The provider payment to the hospital may help to increase OPD screening; if the payment were for all cases of child malnutrition instead of only for the poor, it would likely have an even larger impact</w:t>
      </w:r>
      <w:r w:rsidR="00A947D1">
        <w:t>.</w:t>
      </w:r>
    </w:p>
    <w:p w:rsidR="005D2AAD" w:rsidRPr="00E205F2" w:rsidRDefault="007B34B1" w:rsidP="005D2AAD">
      <w:pPr>
        <w:rPr>
          <w:b/>
          <w:bCs/>
        </w:rPr>
      </w:pPr>
      <w:r w:rsidRPr="00E205F2">
        <w:rPr>
          <w:b/>
          <w:bCs/>
        </w:rPr>
        <w:t>An evaluation of the pilots will be carried out in 2013 under the final eval</w:t>
      </w:r>
      <w:r w:rsidR="00E205F2">
        <w:rPr>
          <w:b/>
          <w:bCs/>
        </w:rPr>
        <w:t xml:space="preserve">uation of the Joint </w:t>
      </w:r>
      <w:proofErr w:type="spellStart"/>
      <w:r w:rsidR="00E205F2">
        <w:rPr>
          <w:b/>
          <w:bCs/>
        </w:rPr>
        <w:t>Programme</w:t>
      </w:r>
      <w:proofErr w:type="spellEnd"/>
      <w:r w:rsidR="00E205F2">
        <w:rPr>
          <w:b/>
          <w:bCs/>
        </w:rPr>
        <w:t>; a</w:t>
      </w:r>
      <w:r w:rsidRPr="00E205F2">
        <w:rPr>
          <w:b/>
          <w:bCs/>
        </w:rPr>
        <w:t>t that time government and development partners will need to decide on scale-up.</w:t>
      </w:r>
    </w:p>
    <w:p w:rsidR="008E7E30" w:rsidRDefault="008E7E30" w:rsidP="00A15D97">
      <w:pPr>
        <w:pStyle w:val="Heading2"/>
      </w:pPr>
    </w:p>
    <w:p w:rsidR="00A15D97" w:rsidRDefault="00A15D97" w:rsidP="00A15D97">
      <w:pPr>
        <w:pStyle w:val="Heading2"/>
      </w:pPr>
      <w:bookmarkStart w:id="3" w:name="_Toc339532507"/>
      <w:bookmarkStart w:id="4" w:name="_Toc339882800"/>
      <w:r>
        <w:t>Strategic Targets</w:t>
      </w:r>
      <w:bookmarkEnd w:id="3"/>
      <w:r w:rsidR="00504693">
        <w:t>,</w:t>
      </w:r>
      <w:r w:rsidR="00E205F2">
        <w:t xml:space="preserve"> Monitoring</w:t>
      </w:r>
      <w:r w:rsidR="00504693">
        <w:t xml:space="preserve"> and Evaluation</w:t>
      </w:r>
      <w:bookmarkEnd w:id="4"/>
    </w:p>
    <w:p w:rsidR="008E7E30" w:rsidRDefault="008E7E30" w:rsidP="008E7E30">
      <w:r>
        <w:t>Indicators and targets for nutrition interventions in the health sector are included in the Health Strategic Plan and the National Nutrition Strategy.</w:t>
      </w:r>
      <w:r w:rsidR="0001470A">
        <w:t xml:space="preserve"> </w:t>
      </w:r>
      <w:r w:rsidR="00F0298C" w:rsidRPr="00F0298C">
        <w:rPr>
          <w:b/>
          <w:bCs/>
        </w:rPr>
        <w:t xml:space="preserve">Treatment of child malnutrition does not appear in the Health Strategic Plan.  </w:t>
      </w:r>
      <w:r w:rsidR="00F0298C">
        <w:t>In the National Nutrition Strategy the target to develop policy for malnutrition treatment was achieved with the endorsement of the</w:t>
      </w:r>
      <w:r w:rsidR="00E205F2">
        <w:t xml:space="preserve"> 2011</w:t>
      </w:r>
      <w:r w:rsidR="00F0298C">
        <w:t xml:space="preserve"> Guidelines for the Management of Acute Malnutrition. The only other indicator related to malnutrition treatment is </w:t>
      </w:r>
      <w:r w:rsidR="00E205F2">
        <w:t>“</w:t>
      </w:r>
      <w:r w:rsidR="00F0298C">
        <w:t>the number of villages covered with community-based management of acute malnutrition</w:t>
      </w:r>
      <w:r w:rsidR="00E205F2">
        <w:t>”</w:t>
      </w:r>
      <w:r w:rsidR="00F0298C">
        <w:t xml:space="preserve">, referring to HC OPD treatment. </w:t>
      </w:r>
      <w:r w:rsidR="00F0298C" w:rsidRPr="00F0298C">
        <w:rPr>
          <w:b/>
          <w:bCs/>
        </w:rPr>
        <w:t>There is no target for the number of hospitals implementing management of acute malnutrition</w:t>
      </w:r>
      <w:r w:rsidR="00E205F2">
        <w:rPr>
          <w:b/>
          <w:bCs/>
        </w:rPr>
        <w:t xml:space="preserve"> in the National Nutrition Strategy</w:t>
      </w:r>
      <w:r w:rsidR="00F0298C" w:rsidRPr="00F0298C">
        <w:rPr>
          <w:b/>
          <w:bCs/>
        </w:rPr>
        <w:t xml:space="preserve">. </w:t>
      </w:r>
      <w:r w:rsidR="0001470A" w:rsidRPr="00F0298C">
        <w:rPr>
          <w:b/>
          <w:bCs/>
        </w:rPr>
        <w:t xml:space="preserve"> </w:t>
      </w:r>
    </w:p>
    <w:p w:rsidR="00000A4F" w:rsidRDefault="00151008" w:rsidP="008E7E30">
      <w:r>
        <w:rPr>
          <w:noProof/>
        </w:rPr>
        <w:lastRenderedPageBreak/>
        <w:drawing>
          <wp:anchor distT="0" distB="0" distL="114300" distR="114300" simplePos="0" relativeHeight="251658240" behindDoc="0" locked="1" layoutInCell="1" allowOverlap="1" wp14:anchorId="44ED00E1" wp14:editId="53479253">
            <wp:simplePos x="0" y="0"/>
            <wp:positionH relativeFrom="margin">
              <wp:align>right</wp:align>
            </wp:positionH>
            <wp:positionV relativeFrom="margin">
              <wp:align>center</wp:align>
            </wp:positionV>
            <wp:extent cx="3886200" cy="2139315"/>
            <wp:effectExtent l="0" t="0" r="19050" b="1333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E205F2">
        <w:t>Acute malnutrition is included in the Health</w:t>
      </w:r>
      <w:r w:rsidR="003F71F3">
        <w:t xml:space="preserve"> Management</w:t>
      </w:r>
      <w:r w:rsidR="00E205F2">
        <w:t xml:space="preserve"> Information System</w:t>
      </w:r>
      <w:r w:rsidR="003F71F3">
        <w:t xml:space="preserve"> and this is the indicator used to monitor Service Delivery Grant contracts. The fact that malnutrition frequently is associated with other illnesses presents a problem for monitoring through the Health Management Information System because for every inpatient case the hospital needs to select one condition. It is not known how many cases of malnutrition are not reported due to selection of an associated illness. The National Nutrition Program has developed registers and data collection forms. This parallel reporting system includes indicators of coverage and quality</w:t>
      </w:r>
      <w:r>
        <w:t>, but quality indicators were only included in 2011</w:t>
      </w:r>
      <w:r w:rsidR="003F71F3">
        <w:t>.</w:t>
      </w:r>
      <w:r w:rsidR="003F71F3" w:rsidRPr="003F71F3">
        <w:rPr>
          <w:b/>
          <w:bCs/>
        </w:rPr>
        <w:t xml:space="preserve"> </w:t>
      </w:r>
      <w:r>
        <w:rPr>
          <w:b/>
          <w:bCs/>
        </w:rPr>
        <w:t>T</w:t>
      </w:r>
      <w:r w:rsidR="003F71F3" w:rsidRPr="003F71F3">
        <w:rPr>
          <w:b/>
          <w:bCs/>
        </w:rPr>
        <w:t>here is no database</w:t>
      </w:r>
      <w:r>
        <w:rPr>
          <w:b/>
          <w:bCs/>
        </w:rPr>
        <w:t xml:space="preserve"> for the parallel reporting system (it is excel-based)</w:t>
      </w:r>
      <w:r w:rsidR="003F71F3" w:rsidRPr="003F71F3">
        <w:rPr>
          <w:b/>
          <w:bCs/>
        </w:rPr>
        <w:t xml:space="preserve"> and </w:t>
      </w:r>
      <w:r>
        <w:rPr>
          <w:b/>
          <w:bCs/>
        </w:rPr>
        <w:t>the system</w:t>
      </w:r>
      <w:r w:rsidR="003F71F3" w:rsidRPr="003F71F3">
        <w:rPr>
          <w:b/>
          <w:bCs/>
        </w:rPr>
        <w:t xml:space="preserve"> is not included in the web-based Health Information System.</w:t>
      </w:r>
      <w:r>
        <w:rPr>
          <w:b/>
          <w:bCs/>
        </w:rPr>
        <w:t xml:space="preserve"> </w:t>
      </w:r>
      <w:r w:rsidRPr="00151008">
        <w:t xml:space="preserve">Monitoring data does show a steady increase in the number of children treated </w:t>
      </w:r>
      <w:r>
        <w:t>in hospital</w:t>
      </w:r>
      <w:r w:rsidRPr="00151008">
        <w:t>.</w:t>
      </w:r>
      <w:r>
        <w:t xml:space="preserve"> The decrease in 2011 was mainly due to </w:t>
      </w:r>
      <w:proofErr w:type="gramStart"/>
      <w:r>
        <w:t>less cases</w:t>
      </w:r>
      <w:proofErr w:type="gramEnd"/>
      <w:r>
        <w:t xml:space="preserve"> at the National Pediatric Hospital. In 2012 cases at the National Pediatric Hospital returned to normal levels and it looks like </w:t>
      </w:r>
      <w:r w:rsidR="00000A4F">
        <w:t>more than 1400 children will receive treatment in the year.</w:t>
      </w:r>
    </w:p>
    <w:p w:rsidR="00055424" w:rsidRDefault="00000A4F" w:rsidP="00267760">
      <w:r>
        <w:t>Hospital based treatment of malnutrition was assessed in 2010, but the assessment did not cover many hospitals and was not robust enough to be considered an evaluation.</w:t>
      </w:r>
      <w:r w:rsidRPr="00000A4F">
        <w:rPr>
          <w:b/>
          <w:bCs/>
        </w:rPr>
        <w:t xml:space="preserve"> The program is yet to have a comprehensive</w:t>
      </w:r>
      <w:r>
        <w:rPr>
          <w:b/>
          <w:bCs/>
        </w:rPr>
        <w:t>, external</w:t>
      </w:r>
      <w:r w:rsidRPr="00000A4F">
        <w:rPr>
          <w:b/>
          <w:bCs/>
        </w:rPr>
        <w:t xml:space="preserve"> evaluation.</w:t>
      </w:r>
      <w:r>
        <w:t xml:space="preserve"> </w:t>
      </w:r>
      <w:r w:rsidR="00151008" w:rsidRPr="00151008">
        <w:t xml:space="preserve"> </w:t>
      </w:r>
    </w:p>
    <w:p w:rsidR="00267760" w:rsidRDefault="00BF7D23" w:rsidP="00267760">
      <w:r>
        <w:t xml:space="preserve">The National Nutrition </w:t>
      </w:r>
      <w:proofErr w:type="spellStart"/>
      <w:r>
        <w:t>Programme</w:t>
      </w:r>
      <w:proofErr w:type="spellEnd"/>
      <w:r>
        <w:t xml:space="preserve"> began hospital based treatment with funding from HIV proje</w:t>
      </w:r>
      <w:r w:rsidR="006453DB">
        <w:t>cts. Initial implementation and scale-up has focused on hospitals providing Pediatric AIDS Care. By chance, nearly all of the hospitals currently implementing also have Health Equity Fund. In 2012</w:t>
      </w:r>
      <w:r w:rsidR="00267760">
        <w:t>,</w:t>
      </w:r>
      <w:r w:rsidR="006453DB">
        <w:t xml:space="preserve"> presence of Health Equity Fund was explicitly used as criteria for hospital selection</w:t>
      </w:r>
      <w:r w:rsidR="00267760">
        <w:t>; other criteria include</w:t>
      </w:r>
      <w:r w:rsidR="00D4229B">
        <w:t xml:space="preserve"> Pediatric AIDS Care, sufficient and motivated staff, and sufficient pediatric cases</w:t>
      </w:r>
      <w:r w:rsidR="006453DB">
        <w:t xml:space="preserve">. By the end of 2012 32 of 73 target hospitals have been trained and equipped, and are implementing. Sixteen hospitals are not included as target hospitals because </w:t>
      </w:r>
      <w:r w:rsidR="00267760">
        <w:t>they</w:t>
      </w:r>
      <w:r w:rsidR="006453DB">
        <w:t xml:space="preserve"> do not have normal pediatric services (</w:t>
      </w:r>
      <w:r w:rsidR="00267760">
        <w:t>N=</w:t>
      </w:r>
      <w:r w:rsidR="006453DB">
        <w:t>5), there is a shortage of staff (</w:t>
      </w:r>
      <w:r w:rsidR="00267760">
        <w:t>N=</w:t>
      </w:r>
      <w:r w:rsidR="006453DB">
        <w:t>4), or there is a lack of patients because of proximity to other hospitals (</w:t>
      </w:r>
      <w:r w:rsidR="00267760">
        <w:t>N=</w:t>
      </w:r>
      <w:r w:rsidR="006453DB">
        <w:t>7).</w:t>
      </w:r>
      <w:r w:rsidR="00D4229B">
        <w:t xml:space="preserve"> </w:t>
      </w:r>
      <w:r w:rsidR="00D4229B" w:rsidRPr="00D4229B">
        <w:rPr>
          <w:b/>
          <w:bCs/>
        </w:rPr>
        <w:t>Assessments t</w:t>
      </w:r>
      <w:r w:rsidR="006453DB" w:rsidRPr="00D4229B">
        <w:rPr>
          <w:b/>
          <w:bCs/>
        </w:rPr>
        <w:t>o determine target hospitals ha</w:t>
      </w:r>
      <w:r w:rsidR="00D4229B" w:rsidRPr="00D4229B">
        <w:rPr>
          <w:b/>
          <w:bCs/>
        </w:rPr>
        <w:t>ve</w:t>
      </w:r>
      <w:r w:rsidR="006453DB" w:rsidRPr="00D4229B">
        <w:rPr>
          <w:b/>
          <w:bCs/>
        </w:rPr>
        <w:t xml:space="preserve"> been done in an ad-hoc manner and some hospitals are yet to be assessed</w:t>
      </w:r>
      <w:r w:rsidR="00D4229B" w:rsidRPr="00D4229B">
        <w:rPr>
          <w:b/>
          <w:bCs/>
        </w:rPr>
        <w:t>.</w:t>
      </w:r>
      <w:r w:rsidR="006453DB">
        <w:t xml:space="preserve"> </w:t>
      </w:r>
      <w:r w:rsidR="00267760">
        <w:t xml:space="preserve">The National Pediatric Hospital serves as the training hospital for management of acute malnutrition. While refresher trainings are carried out, </w:t>
      </w:r>
      <w:r w:rsidR="00267760" w:rsidRPr="003841CD">
        <w:rPr>
          <w:b/>
          <w:bCs/>
        </w:rPr>
        <w:t>there is no formal system for ongoing, day-to-day technical support from NPH staff</w:t>
      </w:r>
      <w:r w:rsidR="00267760">
        <w:t xml:space="preserve"> to staff of other hospitals. In 2012 </w:t>
      </w:r>
      <w:proofErr w:type="spellStart"/>
      <w:r w:rsidR="00267760">
        <w:t>Battambang</w:t>
      </w:r>
      <w:proofErr w:type="spellEnd"/>
      <w:r w:rsidR="00267760">
        <w:t xml:space="preserve"> PRH was also used as a training center because of a break in service at the NPH. </w:t>
      </w:r>
      <w:r w:rsidR="00267760" w:rsidRPr="00267760">
        <w:rPr>
          <w:b/>
          <w:bCs/>
        </w:rPr>
        <w:t>The autonomous status of the NPH may create the need for alternative training centers in the future.</w:t>
      </w:r>
    </w:p>
    <w:p w:rsidR="00267760" w:rsidRDefault="00D4229B" w:rsidP="00355BE5">
      <w:r>
        <w:t>The</w:t>
      </w:r>
      <w:r w:rsidR="00267760">
        <w:t xml:space="preserve"> map and</w:t>
      </w:r>
      <w:r>
        <w:t xml:space="preserve"> table below provides the implementation status of all public sector hospitals in the country</w:t>
      </w:r>
      <w:r w:rsidR="00267760">
        <w:t xml:space="preserve"> and by operational district.</w:t>
      </w:r>
    </w:p>
    <w:p w:rsidR="00267760" w:rsidRDefault="00267760" w:rsidP="00267760">
      <w:pPr>
        <w:pStyle w:val="Caption"/>
        <w:keepNext/>
      </w:pPr>
      <w:r>
        <w:lastRenderedPageBreak/>
        <w:t xml:space="preserve">Figure </w:t>
      </w:r>
      <w:r w:rsidR="008151E2">
        <w:fldChar w:fldCharType="begin"/>
      </w:r>
      <w:r w:rsidR="008151E2">
        <w:instrText xml:space="preserve"> SEQ Figure \* ARABIC </w:instrText>
      </w:r>
      <w:r w:rsidR="008151E2">
        <w:fldChar w:fldCharType="separate"/>
      </w:r>
      <w:r w:rsidR="00F17741">
        <w:rPr>
          <w:noProof/>
        </w:rPr>
        <w:t>1</w:t>
      </w:r>
      <w:r w:rsidR="008151E2">
        <w:rPr>
          <w:noProof/>
        </w:rPr>
        <w:fldChar w:fldCharType="end"/>
      </w:r>
      <w:r>
        <w:t xml:space="preserve"> Districts with Hospital Based Management of Acute Malnutrition in 2012</w:t>
      </w:r>
    </w:p>
    <w:p w:rsidR="000A5945" w:rsidRDefault="00267760" w:rsidP="00355BE5">
      <w:r>
        <w:rPr>
          <w:noProof/>
        </w:rPr>
        <w:drawing>
          <wp:inline distT="0" distB="0" distL="0" distR="0" wp14:anchorId="5BE84DEB" wp14:editId="7A022315">
            <wp:extent cx="5619750" cy="4905375"/>
            <wp:effectExtent l="0" t="0" r="0" b="9525"/>
            <wp:docPr id="2" name="Picture 2" descr="C:\Users\jconkle\Google Drive\CURRENT\malnutrition scale up\hospitalsam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onkle\Google Drive\CURRENT\malnutrition scale up\hospitalsami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4905375"/>
                    </a:xfrm>
                    <a:prstGeom prst="rect">
                      <a:avLst/>
                    </a:prstGeom>
                    <a:noFill/>
                    <a:ln>
                      <a:noFill/>
                    </a:ln>
                  </pic:spPr>
                </pic:pic>
              </a:graphicData>
            </a:graphic>
          </wp:inline>
        </w:drawing>
      </w:r>
      <w:r w:rsidR="00D4229B">
        <w:t xml:space="preserve">. </w:t>
      </w:r>
    </w:p>
    <w:p w:rsidR="000A5945" w:rsidRDefault="00055424" w:rsidP="00355BE5">
      <w:r>
        <w:t>While management of acute malnutrition service is widespread in the country, there are notable gaps in the remote areas of the northeast and southwest.</w:t>
      </w:r>
      <w:r w:rsidR="0009050D">
        <w:t xml:space="preserve"> These areas have high rates of malnutrition, but small populations. In the past there was limited capacity in the hospitals of these remote areas and a small caseload. This may have changed in recent years due to HEF and SDG; </w:t>
      </w:r>
      <w:r w:rsidR="0009050D" w:rsidRPr="0009050D">
        <w:rPr>
          <w:b/>
          <w:bCs/>
        </w:rPr>
        <w:t>there is a need to assess the ability of these hospitals to implement MAM in order to reach the most vulnerable groups in the country.</w:t>
      </w:r>
      <w:r w:rsidR="0009050D">
        <w:t xml:space="preserve"> </w:t>
      </w:r>
    </w:p>
    <w:p w:rsidR="00355BE5" w:rsidRDefault="00355BE5" w:rsidP="00355BE5"/>
    <w:p w:rsidR="00355BE5" w:rsidRDefault="00355BE5" w:rsidP="00355BE5"/>
    <w:p w:rsidR="00355BE5" w:rsidRDefault="00355BE5" w:rsidP="00355BE5"/>
    <w:p w:rsidR="00355BE5" w:rsidRDefault="00355BE5" w:rsidP="00355BE5"/>
    <w:p w:rsidR="00355BE5" w:rsidRDefault="00355BE5" w:rsidP="00355BE5"/>
    <w:p w:rsidR="00355BE5" w:rsidRDefault="00355BE5" w:rsidP="00355BE5">
      <w:pPr>
        <w:sectPr w:rsidR="00355BE5">
          <w:footerReference w:type="default" r:id="rId12"/>
          <w:pgSz w:w="12240" w:h="15840"/>
          <w:pgMar w:top="1440" w:right="1440" w:bottom="1440" w:left="1440" w:header="720" w:footer="720" w:gutter="0"/>
          <w:cols w:space="720"/>
          <w:docGrid w:linePitch="360"/>
        </w:sectPr>
      </w:pPr>
    </w:p>
    <w:p w:rsidR="00355BE5" w:rsidRPr="00355BE5" w:rsidRDefault="00355BE5" w:rsidP="00355BE5"/>
    <w:p w:rsidR="00267760" w:rsidRDefault="00267760" w:rsidP="00267760">
      <w:pPr>
        <w:pStyle w:val="Caption"/>
        <w:keepNext/>
      </w:pPr>
      <w:r>
        <w:t xml:space="preserve">Table </w:t>
      </w:r>
      <w:r w:rsidR="008151E2">
        <w:fldChar w:fldCharType="begin"/>
      </w:r>
      <w:r w:rsidR="008151E2">
        <w:instrText xml:space="preserve"> SEQ Table \* ARABIC </w:instrText>
      </w:r>
      <w:r w:rsidR="008151E2">
        <w:fldChar w:fldCharType="separate"/>
      </w:r>
      <w:r>
        <w:rPr>
          <w:noProof/>
        </w:rPr>
        <w:t>1</w:t>
      </w:r>
      <w:r w:rsidR="008151E2">
        <w:rPr>
          <w:noProof/>
        </w:rPr>
        <w:fldChar w:fldCharType="end"/>
      </w:r>
      <w:r>
        <w:t xml:space="preserve"> Implementation Status of Management of Acute Malnutrition </w:t>
      </w:r>
      <w:proofErr w:type="gramStart"/>
      <w:r>
        <w:t>Among</w:t>
      </w:r>
      <w:proofErr w:type="gramEnd"/>
      <w:r>
        <w:t xml:space="preserve"> Hospitals with Pediatric Services</w:t>
      </w:r>
    </w:p>
    <w:tbl>
      <w:tblPr>
        <w:tblW w:w="12615" w:type="dxa"/>
        <w:tblInd w:w="93" w:type="dxa"/>
        <w:tblLayout w:type="fixed"/>
        <w:tblLook w:val="04A0" w:firstRow="1" w:lastRow="0" w:firstColumn="1" w:lastColumn="0" w:noHBand="0" w:noVBand="1"/>
      </w:tblPr>
      <w:tblGrid>
        <w:gridCol w:w="1815"/>
        <w:gridCol w:w="1710"/>
        <w:gridCol w:w="1440"/>
        <w:gridCol w:w="900"/>
        <w:gridCol w:w="919"/>
        <w:gridCol w:w="1433"/>
        <w:gridCol w:w="1248"/>
        <w:gridCol w:w="810"/>
        <w:gridCol w:w="2340"/>
      </w:tblGrid>
      <w:tr w:rsidR="00D4229B" w:rsidRPr="00355BE5" w:rsidTr="00D4229B">
        <w:trPr>
          <w:trHeight w:val="2100"/>
        </w:trPr>
        <w:tc>
          <w:tcPr>
            <w:tcW w:w="1815"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4229B" w:rsidRPr="009F62A2" w:rsidRDefault="00D4229B" w:rsidP="009F62A2">
            <w:pPr>
              <w:spacing w:after="0" w:line="240" w:lineRule="auto"/>
              <w:jc w:val="center"/>
              <w:rPr>
                <w:rFonts w:ascii="Times New Roman" w:eastAsia="Times New Roman" w:hAnsi="Times New Roman" w:cs="Times New Roman"/>
                <w:b/>
                <w:bCs/>
                <w:color w:val="000000"/>
                <w:sz w:val="24"/>
                <w:szCs w:val="24"/>
              </w:rPr>
            </w:pPr>
            <w:r w:rsidRPr="009F62A2">
              <w:rPr>
                <w:rFonts w:ascii="Times New Roman" w:eastAsia="Times New Roman" w:hAnsi="Times New Roman" w:cs="Times New Roman"/>
                <w:b/>
                <w:bCs/>
                <w:color w:val="000000"/>
                <w:sz w:val="24"/>
                <w:szCs w:val="24"/>
              </w:rPr>
              <w:t>Province</w:t>
            </w:r>
          </w:p>
        </w:tc>
        <w:tc>
          <w:tcPr>
            <w:tcW w:w="1710" w:type="dxa"/>
            <w:tcBorders>
              <w:top w:val="single" w:sz="4" w:space="0" w:color="auto"/>
              <w:left w:val="nil"/>
              <w:bottom w:val="single" w:sz="4" w:space="0" w:color="auto"/>
              <w:right w:val="single" w:sz="4" w:space="0" w:color="auto"/>
            </w:tcBorders>
            <w:shd w:val="clear" w:color="000000" w:fill="A6A6A6"/>
            <w:vAlign w:val="center"/>
            <w:hideMark/>
          </w:tcPr>
          <w:p w:rsidR="00D4229B" w:rsidRPr="009F62A2" w:rsidRDefault="00D4229B" w:rsidP="009F62A2">
            <w:pPr>
              <w:spacing w:after="0" w:line="240" w:lineRule="auto"/>
              <w:jc w:val="center"/>
              <w:rPr>
                <w:rFonts w:ascii="Calibri" w:eastAsia="Times New Roman" w:hAnsi="Calibri" w:cs="Calibri"/>
                <w:b/>
                <w:bCs/>
                <w:color w:val="000000"/>
                <w:szCs w:val="22"/>
              </w:rPr>
            </w:pPr>
            <w:r w:rsidRPr="009F62A2">
              <w:rPr>
                <w:rFonts w:ascii="Calibri" w:eastAsia="Times New Roman" w:hAnsi="Calibri" w:cs="Calibri"/>
                <w:b/>
                <w:bCs/>
                <w:color w:val="000000"/>
                <w:szCs w:val="22"/>
              </w:rPr>
              <w:t>Health Operational District</w:t>
            </w:r>
          </w:p>
        </w:tc>
        <w:tc>
          <w:tcPr>
            <w:tcW w:w="1440" w:type="dxa"/>
            <w:tcBorders>
              <w:top w:val="single" w:sz="4" w:space="0" w:color="auto"/>
              <w:left w:val="nil"/>
              <w:bottom w:val="single" w:sz="4" w:space="0" w:color="auto"/>
              <w:right w:val="single" w:sz="4" w:space="0" w:color="auto"/>
            </w:tcBorders>
            <w:shd w:val="clear" w:color="000000" w:fill="A6A6A6"/>
            <w:vAlign w:val="center"/>
            <w:hideMark/>
          </w:tcPr>
          <w:p w:rsidR="00D4229B" w:rsidRPr="009F62A2" w:rsidRDefault="00D4229B" w:rsidP="009F62A2">
            <w:pPr>
              <w:spacing w:after="0" w:line="240" w:lineRule="auto"/>
              <w:jc w:val="center"/>
              <w:rPr>
                <w:rFonts w:ascii="Calibri" w:eastAsia="Times New Roman" w:hAnsi="Calibri" w:cs="Calibri"/>
                <w:b/>
                <w:bCs/>
                <w:color w:val="000000"/>
                <w:szCs w:val="22"/>
              </w:rPr>
            </w:pPr>
            <w:r w:rsidRPr="009F62A2">
              <w:rPr>
                <w:rFonts w:ascii="Calibri" w:eastAsia="Times New Roman" w:hAnsi="Calibri" w:cs="Calibri"/>
                <w:b/>
                <w:bCs/>
                <w:color w:val="000000"/>
                <w:szCs w:val="22"/>
              </w:rPr>
              <w:t>Hospital Name</w:t>
            </w:r>
          </w:p>
          <w:p w:rsidR="00D4229B" w:rsidRPr="009F62A2" w:rsidRDefault="00D4229B" w:rsidP="009F62A2">
            <w:pPr>
              <w:spacing w:after="0" w:line="240" w:lineRule="auto"/>
              <w:jc w:val="center"/>
              <w:rPr>
                <w:rFonts w:ascii="Calibri" w:eastAsia="Times New Roman" w:hAnsi="Calibri" w:cs="Calibri"/>
                <w:b/>
                <w:bCs/>
                <w:color w:val="000000"/>
                <w:szCs w:val="22"/>
              </w:rPr>
            </w:pPr>
          </w:p>
          <w:p w:rsidR="00D4229B" w:rsidRPr="009F62A2" w:rsidRDefault="00D4229B" w:rsidP="009F62A2">
            <w:pPr>
              <w:spacing w:after="0" w:line="240" w:lineRule="auto"/>
              <w:jc w:val="center"/>
              <w:rPr>
                <w:rFonts w:ascii="Calibri" w:eastAsia="Times New Roman" w:hAnsi="Calibri" w:cs="Calibri"/>
                <w:b/>
                <w:bCs/>
                <w:color w:val="000000"/>
                <w:szCs w:val="22"/>
              </w:rPr>
            </w:pPr>
          </w:p>
        </w:tc>
        <w:tc>
          <w:tcPr>
            <w:tcW w:w="900" w:type="dxa"/>
            <w:tcBorders>
              <w:top w:val="single" w:sz="4" w:space="0" w:color="auto"/>
              <w:left w:val="nil"/>
              <w:bottom w:val="single" w:sz="4" w:space="0" w:color="auto"/>
              <w:right w:val="single" w:sz="4" w:space="0" w:color="auto"/>
            </w:tcBorders>
            <w:shd w:val="clear" w:color="000000" w:fill="A6A6A6"/>
            <w:vAlign w:val="center"/>
            <w:hideMark/>
          </w:tcPr>
          <w:p w:rsidR="00D4229B" w:rsidRPr="009F62A2" w:rsidRDefault="00D4229B" w:rsidP="009F62A2">
            <w:pPr>
              <w:spacing w:after="0" w:line="240" w:lineRule="auto"/>
              <w:jc w:val="center"/>
              <w:rPr>
                <w:rFonts w:ascii="Calibri" w:eastAsia="Times New Roman" w:hAnsi="Calibri" w:cs="Calibri"/>
                <w:b/>
                <w:bCs/>
                <w:color w:val="000000"/>
                <w:szCs w:val="22"/>
              </w:rPr>
            </w:pPr>
            <w:r w:rsidRPr="009F62A2">
              <w:rPr>
                <w:rFonts w:ascii="Calibri" w:eastAsia="Times New Roman" w:hAnsi="Calibri" w:cs="Calibri"/>
                <w:b/>
                <w:bCs/>
                <w:color w:val="000000"/>
                <w:szCs w:val="22"/>
              </w:rPr>
              <w:t>Service Level</w:t>
            </w:r>
          </w:p>
        </w:tc>
        <w:tc>
          <w:tcPr>
            <w:tcW w:w="919" w:type="dxa"/>
            <w:tcBorders>
              <w:top w:val="single" w:sz="4" w:space="0" w:color="auto"/>
              <w:left w:val="nil"/>
              <w:bottom w:val="single" w:sz="4" w:space="0" w:color="auto"/>
              <w:right w:val="single" w:sz="4" w:space="0" w:color="auto"/>
            </w:tcBorders>
            <w:shd w:val="clear" w:color="000000" w:fill="A6A6A6"/>
            <w:vAlign w:val="center"/>
            <w:hideMark/>
          </w:tcPr>
          <w:p w:rsidR="00D4229B" w:rsidRPr="009F62A2" w:rsidRDefault="00D4229B" w:rsidP="009F62A2">
            <w:pPr>
              <w:spacing w:after="0" w:line="240" w:lineRule="auto"/>
              <w:jc w:val="center"/>
              <w:rPr>
                <w:rFonts w:ascii="Calibri" w:eastAsia="Times New Roman" w:hAnsi="Calibri" w:cs="Calibri"/>
                <w:b/>
                <w:bCs/>
                <w:color w:val="000000"/>
                <w:szCs w:val="22"/>
              </w:rPr>
            </w:pPr>
            <w:r w:rsidRPr="009F62A2">
              <w:rPr>
                <w:rFonts w:ascii="Calibri" w:eastAsia="Times New Roman" w:hAnsi="Calibri" w:cs="Calibri"/>
                <w:b/>
                <w:bCs/>
                <w:color w:val="000000"/>
                <w:szCs w:val="22"/>
              </w:rPr>
              <w:t>Trained</w:t>
            </w:r>
          </w:p>
        </w:tc>
        <w:tc>
          <w:tcPr>
            <w:tcW w:w="1433" w:type="dxa"/>
            <w:tcBorders>
              <w:top w:val="single" w:sz="4" w:space="0" w:color="auto"/>
              <w:left w:val="nil"/>
              <w:bottom w:val="single" w:sz="4" w:space="0" w:color="auto"/>
              <w:right w:val="single" w:sz="4" w:space="0" w:color="auto"/>
            </w:tcBorders>
            <w:shd w:val="clear" w:color="000000" w:fill="A6A6A6"/>
            <w:vAlign w:val="center"/>
            <w:hideMark/>
          </w:tcPr>
          <w:p w:rsidR="00D4229B" w:rsidRPr="009F62A2" w:rsidRDefault="00D4229B" w:rsidP="009F62A2">
            <w:pPr>
              <w:spacing w:after="0" w:line="240" w:lineRule="auto"/>
              <w:jc w:val="center"/>
              <w:rPr>
                <w:rFonts w:ascii="Calibri" w:eastAsia="Times New Roman" w:hAnsi="Calibri" w:cs="Calibri"/>
                <w:b/>
                <w:bCs/>
                <w:color w:val="000000"/>
                <w:szCs w:val="22"/>
              </w:rPr>
            </w:pPr>
            <w:r w:rsidRPr="009F62A2">
              <w:rPr>
                <w:rFonts w:ascii="Calibri" w:eastAsia="Times New Roman" w:hAnsi="Calibri" w:cs="Calibri"/>
                <w:b/>
                <w:bCs/>
                <w:color w:val="000000"/>
                <w:szCs w:val="22"/>
              </w:rPr>
              <w:t>Implement</w:t>
            </w:r>
            <w:r>
              <w:rPr>
                <w:rFonts w:ascii="Calibri" w:eastAsia="Times New Roman" w:hAnsi="Calibri" w:cs="Calibri"/>
                <w:b/>
                <w:bCs/>
                <w:color w:val="000000"/>
                <w:szCs w:val="22"/>
              </w:rPr>
              <w:t xml:space="preserve"> by 2012</w:t>
            </w:r>
          </w:p>
        </w:tc>
        <w:tc>
          <w:tcPr>
            <w:tcW w:w="1248" w:type="dxa"/>
            <w:tcBorders>
              <w:top w:val="single" w:sz="4" w:space="0" w:color="auto"/>
              <w:left w:val="nil"/>
              <w:bottom w:val="single" w:sz="4" w:space="0" w:color="auto"/>
              <w:right w:val="single" w:sz="4" w:space="0" w:color="auto"/>
            </w:tcBorders>
            <w:shd w:val="clear" w:color="000000" w:fill="A6A6A6"/>
            <w:vAlign w:val="center"/>
            <w:hideMark/>
          </w:tcPr>
          <w:p w:rsidR="00D4229B" w:rsidRPr="009F62A2" w:rsidRDefault="00D4229B" w:rsidP="009F62A2">
            <w:pPr>
              <w:spacing w:after="0" w:line="240" w:lineRule="auto"/>
              <w:jc w:val="center"/>
              <w:rPr>
                <w:rFonts w:ascii="Calibri" w:eastAsia="Times New Roman" w:hAnsi="Calibri" w:cs="Calibri"/>
                <w:b/>
                <w:bCs/>
                <w:color w:val="000000"/>
                <w:szCs w:val="22"/>
              </w:rPr>
            </w:pPr>
            <w:r w:rsidRPr="009F62A2">
              <w:rPr>
                <w:rFonts w:ascii="Calibri" w:eastAsia="Times New Roman" w:hAnsi="Calibri" w:cs="Calibri"/>
                <w:b/>
                <w:bCs/>
                <w:color w:val="000000"/>
                <w:szCs w:val="22"/>
              </w:rPr>
              <w:t>Training and Implement  2013</w:t>
            </w:r>
          </w:p>
        </w:tc>
        <w:tc>
          <w:tcPr>
            <w:tcW w:w="810" w:type="dxa"/>
            <w:tcBorders>
              <w:top w:val="single" w:sz="4" w:space="0" w:color="auto"/>
              <w:left w:val="nil"/>
              <w:bottom w:val="single" w:sz="4" w:space="0" w:color="auto"/>
              <w:right w:val="single" w:sz="4" w:space="0" w:color="auto"/>
            </w:tcBorders>
            <w:shd w:val="clear" w:color="000000" w:fill="A6A6A6"/>
            <w:vAlign w:val="center"/>
            <w:hideMark/>
          </w:tcPr>
          <w:p w:rsidR="00D4229B" w:rsidRPr="009F62A2" w:rsidRDefault="00D4229B" w:rsidP="009F62A2">
            <w:pPr>
              <w:spacing w:after="0" w:line="240" w:lineRule="auto"/>
              <w:jc w:val="center"/>
              <w:rPr>
                <w:rFonts w:ascii="Calibri" w:eastAsia="Times New Roman" w:hAnsi="Calibri" w:cs="Calibri"/>
                <w:b/>
                <w:bCs/>
                <w:color w:val="000000"/>
                <w:szCs w:val="22"/>
              </w:rPr>
            </w:pPr>
            <w:r w:rsidRPr="009F62A2">
              <w:rPr>
                <w:rFonts w:ascii="Calibri" w:eastAsia="Times New Roman" w:hAnsi="Calibri" w:cs="Calibri"/>
                <w:b/>
                <w:bCs/>
                <w:color w:val="000000"/>
                <w:szCs w:val="22"/>
              </w:rPr>
              <w:t>HEF by 2014</w:t>
            </w:r>
          </w:p>
        </w:tc>
        <w:tc>
          <w:tcPr>
            <w:tcW w:w="2340" w:type="dxa"/>
            <w:tcBorders>
              <w:top w:val="single" w:sz="4" w:space="0" w:color="auto"/>
              <w:left w:val="nil"/>
              <w:bottom w:val="single" w:sz="4" w:space="0" w:color="auto"/>
              <w:right w:val="single" w:sz="4" w:space="0" w:color="auto"/>
            </w:tcBorders>
            <w:shd w:val="clear" w:color="000000" w:fill="A6A6A6"/>
            <w:vAlign w:val="center"/>
          </w:tcPr>
          <w:p w:rsidR="00D4229B" w:rsidRPr="009F62A2" w:rsidRDefault="00D4229B" w:rsidP="009F62A2">
            <w:pPr>
              <w:spacing w:after="0" w:line="240" w:lineRule="auto"/>
              <w:jc w:val="center"/>
              <w:rPr>
                <w:rFonts w:ascii="Calibri" w:eastAsia="Times New Roman" w:hAnsi="Calibri" w:cs="Calibri"/>
                <w:b/>
                <w:bCs/>
                <w:color w:val="000000"/>
                <w:szCs w:val="22"/>
              </w:rPr>
            </w:pPr>
            <w:r w:rsidRPr="009F62A2">
              <w:rPr>
                <w:rFonts w:ascii="Calibri" w:eastAsia="Times New Roman" w:hAnsi="Calibri" w:cs="Calibri"/>
                <w:b/>
                <w:bCs/>
                <w:color w:val="000000"/>
                <w:szCs w:val="22"/>
              </w:rPr>
              <w:t>Notes</w:t>
            </w:r>
          </w:p>
        </w:tc>
      </w:tr>
      <w:tr w:rsidR="00267760" w:rsidRPr="00355BE5" w:rsidTr="0019680B">
        <w:trPr>
          <w:trHeight w:val="1448"/>
        </w:trPr>
        <w:tc>
          <w:tcPr>
            <w:tcW w:w="12615" w:type="dxa"/>
            <w:gridSpan w:val="9"/>
            <w:tcBorders>
              <w:top w:val="single" w:sz="4" w:space="0" w:color="auto"/>
              <w:left w:val="single" w:sz="4" w:space="0" w:color="auto"/>
              <w:bottom w:val="single" w:sz="4" w:space="0" w:color="auto"/>
              <w:right w:val="single" w:sz="4" w:space="0" w:color="auto"/>
            </w:tcBorders>
            <w:shd w:val="clear" w:color="000000" w:fill="A6A6A6"/>
            <w:noWrap/>
            <w:vAlign w:val="center"/>
          </w:tcPr>
          <w:p w:rsidR="00267760" w:rsidRDefault="00267760" w:rsidP="0019680B">
            <w:pPr>
              <w:spacing w:after="0" w:line="240" w:lineRule="auto"/>
              <w:rPr>
                <w:rFonts w:ascii="Calibri" w:eastAsia="Times New Roman" w:hAnsi="Calibri" w:cs="Calibri"/>
                <w:b/>
                <w:bCs/>
                <w:color w:val="000000"/>
                <w:szCs w:val="22"/>
              </w:rPr>
            </w:pPr>
            <w:r>
              <w:rPr>
                <w:rFonts w:ascii="Calibri" w:eastAsia="Times New Roman" w:hAnsi="Calibri" w:cs="Calibri"/>
                <w:b/>
                <w:bCs/>
                <w:color w:val="000000"/>
                <w:szCs w:val="22"/>
              </w:rPr>
              <w:t>Green=implementing</w:t>
            </w:r>
            <w:r w:rsidR="0019680B">
              <w:rPr>
                <w:rFonts w:ascii="Calibri" w:eastAsia="Times New Roman" w:hAnsi="Calibri" w:cs="Calibri"/>
                <w:b/>
                <w:bCs/>
                <w:color w:val="000000"/>
                <w:szCs w:val="22"/>
              </w:rPr>
              <w:t xml:space="preserve"> as of 2012</w:t>
            </w:r>
          </w:p>
          <w:p w:rsidR="00267760" w:rsidRDefault="00267760" w:rsidP="0019680B">
            <w:pPr>
              <w:spacing w:after="0" w:line="240" w:lineRule="auto"/>
              <w:rPr>
                <w:rFonts w:ascii="Calibri" w:eastAsia="Times New Roman" w:hAnsi="Calibri" w:cs="Calibri"/>
                <w:b/>
                <w:bCs/>
                <w:color w:val="000000"/>
                <w:szCs w:val="22"/>
              </w:rPr>
            </w:pPr>
            <w:r>
              <w:rPr>
                <w:rFonts w:ascii="Calibri" w:eastAsia="Times New Roman" w:hAnsi="Calibri" w:cs="Calibri"/>
                <w:b/>
                <w:bCs/>
                <w:color w:val="000000"/>
                <w:szCs w:val="22"/>
              </w:rPr>
              <w:t>Orange=excluded from implementation</w:t>
            </w:r>
          </w:p>
          <w:p w:rsidR="0019680B" w:rsidRDefault="0019680B" w:rsidP="0019680B">
            <w:pPr>
              <w:spacing w:after="0" w:line="240" w:lineRule="auto"/>
              <w:rPr>
                <w:rFonts w:ascii="Calibri" w:eastAsia="Times New Roman" w:hAnsi="Calibri" w:cs="Calibri"/>
                <w:b/>
                <w:bCs/>
                <w:color w:val="000000"/>
                <w:szCs w:val="22"/>
              </w:rPr>
            </w:pPr>
            <w:r>
              <w:rPr>
                <w:rFonts w:ascii="Calibri" w:eastAsia="Times New Roman" w:hAnsi="Calibri" w:cs="Calibri"/>
                <w:b/>
                <w:bCs/>
                <w:color w:val="000000"/>
                <w:szCs w:val="22"/>
              </w:rPr>
              <w:t>Yellow=targeted for implementation</w:t>
            </w:r>
          </w:p>
          <w:p w:rsidR="0019680B" w:rsidRPr="009F62A2" w:rsidRDefault="0019680B" w:rsidP="0019680B">
            <w:pPr>
              <w:spacing w:after="0" w:line="240" w:lineRule="auto"/>
              <w:rPr>
                <w:rFonts w:ascii="Calibri" w:eastAsia="Times New Roman" w:hAnsi="Calibri" w:cs="Calibri"/>
                <w:b/>
                <w:bCs/>
                <w:color w:val="000000"/>
                <w:szCs w:val="22"/>
              </w:rPr>
            </w:pPr>
            <w:r>
              <w:rPr>
                <w:rFonts w:ascii="Calibri" w:eastAsia="Times New Roman" w:hAnsi="Calibri" w:cs="Calibri"/>
                <w:b/>
                <w:bCs/>
                <w:color w:val="000000"/>
                <w:szCs w:val="22"/>
              </w:rPr>
              <w:t>White=not yet assessed</w:t>
            </w: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B. </w:t>
            </w:r>
            <w:proofErr w:type="spellStart"/>
            <w:r w:rsidRPr="009F62A2">
              <w:rPr>
                <w:rFonts w:asciiTheme="minorBidi" w:eastAsia="Times New Roman" w:hAnsiTheme="minorBidi"/>
                <w:color w:val="000000"/>
                <w:sz w:val="20"/>
                <w:szCs w:val="20"/>
              </w:rPr>
              <w:t>Meanchey</w:t>
            </w:r>
            <w:proofErr w:type="spellEnd"/>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Mongkol</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Borei</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Serei</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Sophon</w:t>
            </w:r>
            <w:proofErr w:type="spellEnd"/>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Start q4 2012</w:t>
            </w:r>
          </w:p>
        </w:tc>
      </w:tr>
      <w:tr w:rsidR="00D4229B" w:rsidRPr="00355BE5" w:rsidTr="00D4229B">
        <w:trPr>
          <w:trHeight w:val="12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B. </w:t>
            </w:r>
            <w:proofErr w:type="spellStart"/>
            <w:r w:rsidRPr="009F62A2">
              <w:rPr>
                <w:rFonts w:asciiTheme="minorBidi" w:eastAsia="Times New Roman" w:hAnsiTheme="minorBidi"/>
                <w:color w:val="000000"/>
                <w:sz w:val="20"/>
                <w:szCs w:val="20"/>
              </w:rPr>
              <w:t>Meanchey</w:t>
            </w:r>
            <w:proofErr w:type="spellEnd"/>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Mongkol</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Borei</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Cambodia-Japan Friendship PH</w:t>
            </w:r>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CPA3</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315"/>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B. </w:t>
            </w:r>
            <w:proofErr w:type="spellStart"/>
            <w:r w:rsidRPr="009F62A2">
              <w:rPr>
                <w:rFonts w:asciiTheme="minorBidi" w:eastAsia="Times New Roman" w:hAnsiTheme="minorBidi"/>
                <w:color w:val="000000"/>
                <w:sz w:val="20"/>
                <w:szCs w:val="20"/>
              </w:rPr>
              <w:t>Meanchey</w:t>
            </w:r>
            <w:proofErr w:type="spellEnd"/>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Ou</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Chrov</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Poipet</w:t>
            </w:r>
            <w:proofErr w:type="spellEnd"/>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CPA2</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B. </w:t>
            </w:r>
            <w:proofErr w:type="spellStart"/>
            <w:r w:rsidRPr="009F62A2">
              <w:rPr>
                <w:rFonts w:asciiTheme="minorBidi" w:eastAsia="Times New Roman" w:hAnsiTheme="minorBidi"/>
                <w:color w:val="000000"/>
                <w:sz w:val="20"/>
                <w:szCs w:val="20"/>
              </w:rPr>
              <w:t>Meanchey</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Preah</w:t>
            </w:r>
            <w:proofErr w:type="spellEnd"/>
            <w:r w:rsidRPr="009F62A2">
              <w:rPr>
                <w:rFonts w:asciiTheme="minorBidi" w:eastAsia="Times New Roman" w:hAnsiTheme="minorBidi"/>
                <w:color w:val="000000"/>
                <w:sz w:val="20"/>
                <w:szCs w:val="20"/>
              </w:rPr>
              <w:t xml:space="preserve"> Net </w:t>
            </w:r>
            <w:proofErr w:type="spellStart"/>
            <w:r w:rsidRPr="009F62A2">
              <w:rPr>
                <w:rFonts w:asciiTheme="minorBidi" w:eastAsia="Times New Roman" w:hAnsiTheme="minorBidi"/>
                <w:color w:val="000000"/>
                <w:sz w:val="20"/>
                <w:szCs w:val="20"/>
              </w:rPr>
              <w:t>Preah</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preah</w:t>
            </w:r>
            <w:proofErr w:type="spellEnd"/>
            <w:r w:rsidRPr="009F62A2">
              <w:rPr>
                <w:rFonts w:asciiTheme="minorBidi" w:eastAsia="Times New Roman" w:hAnsiTheme="minorBidi"/>
                <w:color w:val="000000"/>
                <w:sz w:val="20"/>
                <w:szCs w:val="20"/>
              </w:rPr>
              <w:t xml:space="preserve"> Net </w:t>
            </w:r>
            <w:proofErr w:type="spellStart"/>
            <w:r w:rsidRPr="009F62A2">
              <w:rPr>
                <w:rFonts w:asciiTheme="minorBidi" w:eastAsia="Times New Roman" w:hAnsiTheme="minorBidi"/>
                <w:color w:val="000000"/>
                <w:sz w:val="20"/>
                <w:szCs w:val="20"/>
              </w:rPr>
              <w:t>Preah</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B. </w:t>
            </w:r>
            <w:proofErr w:type="spellStart"/>
            <w:r w:rsidRPr="009F62A2">
              <w:rPr>
                <w:rFonts w:asciiTheme="minorBidi" w:eastAsia="Times New Roman" w:hAnsiTheme="minorBidi"/>
                <w:color w:val="000000"/>
                <w:sz w:val="20"/>
                <w:szCs w:val="20"/>
              </w:rPr>
              <w:t>Meanchey</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Thma</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Puok</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Thma</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Puok</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2429A0">
              <w:rPr>
                <w:rFonts w:asciiTheme="minorBidi" w:eastAsia="Times New Roman" w:hAnsiTheme="minorBidi"/>
                <w:color w:val="000000"/>
                <w:sz w:val="20"/>
                <w:szCs w:val="20"/>
                <w:highlight w:val="yellow"/>
              </w:rPr>
              <w:t>CPA2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Battambang</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Thmar</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Koul</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Thmar</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Koul</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lastRenderedPageBreak/>
              <w:t>Battambang</w:t>
            </w:r>
            <w:proofErr w:type="spellEnd"/>
          </w:p>
        </w:tc>
        <w:tc>
          <w:tcPr>
            <w:tcW w:w="17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Maung</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Russei</w:t>
            </w:r>
            <w:proofErr w:type="spellEnd"/>
          </w:p>
        </w:tc>
        <w:tc>
          <w:tcPr>
            <w:tcW w:w="144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Maung</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Russei</w:t>
            </w:r>
            <w:proofErr w:type="spellEnd"/>
          </w:p>
        </w:tc>
        <w:tc>
          <w:tcPr>
            <w:tcW w:w="90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CPA2</w:t>
            </w:r>
          </w:p>
        </w:tc>
        <w:tc>
          <w:tcPr>
            <w:tcW w:w="919"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FFC00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Shortage of staff</w:t>
            </w: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Battambang</w:t>
            </w:r>
            <w:proofErr w:type="spellEnd"/>
          </w:p>
        </w:tc>
        <w:tc>
          <w:tcPr>
            <w:tcW w:w="171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Sampov</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Luon</w:t>
            </w:r>
            <w:proofErr w:type="spellEnd"/>
          </w:p>
        </w:tc>
        <w:tc>
          <w:tcPr>
            <w:tcW w:w="144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Sampov</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Loun</w:t>
            </w:r>
            <w:proofErr w:type="spellEnd"/>
          </w:p>
        </w:tc>
        <w:tc>
          <w:tcPr>
            <w:tcW w:w="90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FFFF0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Have PAC</w:t>
            </w:r>
          </w:p>
        </w:tc>
      </w:tr>
      <w:tr w:rsidR="00D4229B" w:rsidRPr="00355BE5" w:rsidTr="00D4229B">
        <w:trPr>
          <w:trHeight w:val="12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Battambang</w:t>
            </w:r>
            <w:proofErr w:type="spellEnd"/>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Battambang</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Battambang</w:t>
            </w:r>
            <w:proofErr w:type="spellEnd"/>
            <w:r w:rsidRPr="009F62A2">
              <w:rPr>
                <w:rFonts w:asciiTheme="minorBidi" w:eastAsia="Times New Roman" w:hAnsiTheme="minorBidi"/>
                <w:color w:val="000000"/>
                <w:sz w:val="20"/>
                <w:szCs w:val="20"/>
              </w:rPr>
              <w:t xml:space="preserve"> Provincial Hosp.</w:t>
            </w:r>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CPA3</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12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K. Cham</w:t>
            </w:r>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Chamkar</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Leu</w:t>
            </w:r>
            <w:proofErr w:type="spellEnd"/>
            <w:r w:rsidRPr="009F62A2">
              <w:rPr>
                <w:rFonts w:asciiTheme="minorBidi" w:eastAsia="Times New Roman" w:hAnsiTheme="minorBidi"/>
                <w:color w:val="000000"/>
                <w:sz w:val="20"/>
                <w:szCs w:val="20"/>
              </w:rPr>
              <w:t xml:space="preserve"> - </w:t>
            </w:r>
            <w:proofErr w:type="spellStart"/>
            <w:r w:rsidRPr="009F62A2">
              <w:rPr>
                <w:rFonts w:asciiTheme="minorBidi" w:eastAsia="Times New Roman" w:hAnsiTheme="minorBidi"/>
                <w:color w:val="000000"/>
                <w:sz w:val="20"/>
                <w:szCs w:val="20"/>
              </w:rPr>
              <w:t>Stueng</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Trang</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Chamkar</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Leu</w:t>
            </w:r>
            <w:proofErr w:type="spellEnd"/>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K. Cham</w:t>
            </w:r>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Choeung</w:t>
            </w:r>
            <w:proofErr w:type="spellEnd"/>
            <w:r w:rsidRPr="009F62A2">
              <w:rPr>
                <w:rFonts w:asciiTheme="minorBidi" w:eastAsia="Times New Roman" w:hAnsiTheme="minorBidi"/>
                <w:color w:val="000000"/>
                <w:sz w:val="20"/>
                <w:szCs w:val="20"/>
              </w:rPr>
              <w:t xml:space="preserve"> Prey - </w:t>
            </w:r>
            <w:proofErr w:type="spellStart"/>
            <w:r w:rsidRPr="009F62A2">
              <w:rPr>
                <w:rFonts w:asciiTheme="minorBidi" w:eastAsia="Times New Roman" w:hAnsiTheme="minorBidi"/>
                <w:color w:val="000000"/>
                <w:sz w:val="20"/>
                <w:szCs w:val="20"/>
              </w:rPr>
              <w:t>Batheay</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Choeung</w:t>
            </w:r>
            <w:proofErr w:type="spellEnd"/>
            <w:r w:rsidRPr="009F62A2">
              <w:rPr>
                <w:rFonts w:asciiTheme="minorBidi" w:eastAsia="Times New Roman" w:hAnsiTheme="minorBidi"/>
                <w:color w:val="000000"/>
                <w:sz w:val="20"/>
                <w:szCs w:val="20"/>
              </w:rPr>
              <w:t xml:space="preserve"> Prey</w:t>
            </w:r>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K. Cham</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Choeung</w:t>
            </w:r>
            <w:proofErr w:type="spellEnd"/>
            <w:r w:rsidRPr="009F62A2">
              <w:rPr>
                <w:rFonts w:asciiTheme="minorBidi" w:eastAsia="Times New Roman" w:hAnsiTheme="minorBidi"/>
                <w:color w:val="000000"/>
                <w:sz w:val="20"/>
                <w:szCs w:val="20"/>
              </w:rPr>
              <w:t xml:space="preserve"> Prey - </w:t>
            </w:r>
            <w:proofErr w:type="spellStart"/>
            <w:r w:rsidRPr="009F62A2">
              <w:rPr>
                <w:rFonts w:asciiTheme="minorBidi" w:eastAsia="Times New Roman" w:hAnsiTheme="minorBidi"/>
                <w:color w:val="000000"/>
                <w:sz w:val="20"/>
                <w:szCs w:val="20"/>
              </w:rPr>
              <w:t>Batheay</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Batheay</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12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K. Cham</w:t>
            </w:r>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Kampong Cham - Kg. </w:t>
            </w:r>
            <w:proofErr w:type="spellStart"/>
            <w:r w:rsidRPr="009F62A2">
              <w:rPr>
                <w:rFonts w:asciiTheme="minorBidi" w:eastAsia="Times New Roman" w:hAnsiTheme="minorBidi"/>
                <w:color w:val="000000"/>
                <w:sz w:val="20"/>
                <w:szCs w:val="20"/>
              </w:rPr>
              <w:t>Siem</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Kampong Cham Prov. Hosp.</w:t>
            </w:r>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CPA3</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12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K. Cham</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Kroch </w:t>
            </w:r>
            <w:proofErr w:type="spellStart"/>
            <w:r w:rsidRPr="009F62A2">
              <w:rPr>
                <w:rFonts w:asciiTheme="minorBidi" w:eastAsia="Times New Roman" w:hAnsiTheme="minorBidi"/>
                <w:color w:val="000000"/>
                <w:sz w:val="20"/>
                <w:szCs w:val="20"/>
              </w:rPr>
              <w:t>Chhmar</w:t>
            </w:r>
            <w:proofErr w:type="spellEnd"/>
            <w:r w:rsidRPr="009F62A2">
              <w:rPr>
                <w:rFonts w:asciiTheme="minorBidi" w:eastAsia="Times New Roman" w:hAnsiTheme="minorBidi"/>
                <w:color w:val="000000"/>
                <w:sz w:val="20"/>
                <w:szCs w:val="20"/>
              </w:rPr>
              <w:t xml:space="preserve"> - Stung </w:t>
            </w:r>
            <w:proofErr w:type="spellStart"/>
            <w:r w:rsidRPr="009F62A2">
              <w:rPr>
                <w:rFonts w:asciiTheme="minorBidi" w:eastAsia="Times New Roman" w:hAnsiTheme="minorBidi"/>
                <w:color w:val="000000"/>
                <w:sz w:val="20"/>
                <w:szCs w:val="20"/>
              </w:rPr>
              <w:t>Trang</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Kroch </w:t>
            </w:r>
            <w:proofErr w:type="spellStart"/>
            <w:r w:rsidRPr="009F62A2">
              <w:rPr>
                <w:rFonts w:asciiTheme="minorBidi" w:eastAsia="Times New Roman" w:hAnsiTheme="minorBidi"/>
                <w:color w:val="000000"/>
                <w:sz w:val="20"/>
                <w:szCs w:val="20"/>
              </w:rPr>
              <w:t>Chhmar</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315"/>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K. Cham</w:t>
            </w:r>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Memut</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Memut</w:t>
            </w:r>
            <w:proofErr w:type="spellEnd"/>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CPA2</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lastRenderedPageBreak/>
              <w:t>K. Cham</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O </w:t>
            </w:r>
            <w:proofErr w:type="spellStart"/>
            <w:r w:rsidRPr="009F62A2">
              <w:rPr>
                <w:rFonts w:asciiTheme="minorBidi" w:eastAsia="Times New Roman" w:hAnsiTheme="minorBidi"/>
                <w:color w:val="000000"/>
                <w:sz w:val="20"/>
                <w:szCs w:val="20"/>
              </w:rPr>
              <w:t>Reang</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Ov</w:t>
            </w:r>
            <w:proofErr w:type="spellEnd"/>
            <w:r w:rsidRPr="009F62A2">
              <w:rPr>
                <w:rFonts w:asciiTheme="minorBidi" w:eastAsia="Times New Roman" w:hAnsiTheme="minorBidi"/>
                <w:color w:val="000000"/>
                <w:sz w:val="20"/>
                <w:szCs w:val="20"/>
              </w:rPr>
              <w:t xml:space="preserve"> - </w:t>
            </w:r>
            <w:proofErr w:type="spellStart"/>
            <w:r w:rsidRPr="009F62A2">
              <w:rPr>
                <w:rFonts w:asciiTheme="minorBidi" w:eastAsia="Times New Roman" w:hAnsiTheme="minorBidi"/>
                <w:color w:val="000000"/>
                <w:sz w:val="20"/>
                <w:szCs w:val="20"/>
              </w:rPr>
              <w:t>Koh</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Soutin</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O </w:t>
            </w:r>
            <w:proofErr w:type="spellStart"/>
            <w:r w:rsidRPr="009F62A2">
              <w:rPr>
                <w:rFonts w:asciiTheme="minorBidi" w:eastAsia="Times New Roman" w:hAnsiTheme="minorBidi"/>
                <w:color w:val="000000"/>
                <w:sz w:val="20"/>
                <w:szCs w:val="20"/>
              </w:rPr>
              <w:t>Reang</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Ov</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K. Cham</w:t>
            </w:r>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Ponhea</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Krek</w:t>
            </w:r>
            <w:proofErr w:type="spellEnd"/>
            <w:r w:rsidRPr="009F62A2">
              <w:rPr>
                <w:rFonts w:asciiTheme="minorBidi" w:eastAsia="Times New Roman" w:hAnsiTheme="minorBidi"/>
                <w:color w:val="000000"/>
                <w:sz w:val="20"/>
                <w:szCs w:val="20"/>
              </w:rPr>
              <w:t xml:space="preserve"> - </w:t>
            </w:r>
            <w:proofErr w:type="spellStart"/>
            <w:r w:rsidRPr="009F62A2">
              <w:rPr>
                <w:rFonts w:asciiTheme="minorBidi" w:eastAsia="Times New Roman" w:hAnsiTheme="minorBidi"/>
                <w:color w:val="000000"/>
                <w:sz w:val="20"/>
                <w:szCs w:val="20"/>
              </w:rPr>
              <w:t>Dambae</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Ponhea</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Krek</w:t>
            </w:r>
            <w:proofErr w:type="spellEnd"/>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12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K. Cham</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Prey </w:t>
            </w:r>
            <w:proofErr w:type="spellStart"/>
            <w:r w:rsidRPr="009F62A2">
              <w:rPr>
                <w:rFonts w:asciiTheme="minorBidi" w:eastAsia="Times New Roman" w:hAnsiTheme="minorBidi"/>
                <w:color w:val="000000"/>
                <w:sz w:val="20"/>
                <w:szCs w:val="20"/>
              </w:rPr>
              <w:t>Chhor</w:t>
            </w:r>
            <w:proofErr w:type="spellEnd"/>
            <w:r w:rsidRPr="009F62A2">
              <w:rPr>
                <w:rFonts w:asciiTheme="minorBidi" w:eastAsia="Times New Roman" w:hAnsiTheme="minorBidi"/>
                <w:color w:val="000000"/>
                <w:sz w:val="20"/>
                <w:szCs w:val="20"/>
              </w:rPr>
              <w:t xml:space="preserve"> - Kang </w:t>
            </w:r>
            <w:proofErr w:type="spellStart"/>
            <w:r w:rsidRPr="009F62A2">
              <w:rPr>
                <w:rFonts w:asciiTheme="minorBidi" w:eastAsia="Times New Roman" w:hAnsiTheme="minorBidi"/>
                <w:color w:val="000000"/>
                <w:sz w:val="20"/>
                <w:szCs w:val="20"/>
              </w:rPr>
              <w:t>Meas</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Prey </w:t>
            </w:r>
            <w:proofErr w:type="spellStart"/>
            <w:r w:rsidRPr="009F62A2">
              <w:rPr>
                <w:rFonts w:asciiTheme="minorBidi" w:eastAsia="Times New Roman" w:hAnsiTheme="minorBidi"/>
                <w:color w:val="000000"/>
                <w:sz w:val="20"/>
                <w:szCs w:val="20"/>
              </w:rPr>
              <w:t>Chhor</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12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K. Cham</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Srey</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Santhor</w:t>
            </w:r>
            <w:proofErr w:type="spellEnd"/>
            <w:r w:rsidRPr="009F62A2">
              <w:rPr>
                <w:rFonts w:asciiTheme="minorBidi" w:eastAsia="Times New Roman" w:hAnsiTheme="minorBidi"/>
                <w:color w:val="000000"/>
                <w:sz w:val="20"/>
                <w:szCs w:val="20"/>
              </w:rPr>
              <w:t xml:space="preserve"> - Kang </w:t>
            </w:r>
            <w:proofErr w:type="spellStart"/>
            <w:r w:rsidRPr="009F62A2">
              <w:rPr>
                <w:rFonts w:asciiTheme="minorBidi" w:eastAsia="Times New Roman" w:hAnsiTheme="minorBidi"/>
                <w:color w:val="000000"/>
                <w:sz w:val="20"/>
                <w:szCs w:val="20"/>
              </w:rPr>
              <w:t>Meas</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Srey</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Santhor</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12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K. Cham</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Tbong</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Khmum</w:t>
            </w:r>
            <w:proofErr w:type="spellEnd"/>
            <w:r w:rsidRPr="009F62A2">
              <w:rPr>
                <w:rFonts w:asciiTheme="minorBidi" w:eastAsia="Times New Roman" w:hAnsiTheme="minorBidi"/>
                <w:color w:val="000000"/>
                <w:sz w:val="20"/>
                <w:szCs w:val="20"/>
              </w:rPr>
              <w:t xml:space="preserve"> - Kroch </w:t>
            </w:r>
            <w:proofErr w:type="spellStart"/>
            <w:r w:rsidRPr="009F62A2">
              <w:rPr>
                <w:rFonts w:asciiTheme="minorBidi" w:eastAsia="Times New Roman" w:hAnsiTheme="minorBidi"/>
                <w:color w:val="000000"/>
                <w:sz w:val="20"/>
                <w:szCs w:val="20"/>
              </w:rPr>
              <w:t>Chhmar</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Tbong</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Khmum</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2429A0">
              <w:rPr>
                <w:rFonts w:asciiTheme="minorBidi" w:eastAsia="Times New Roman" w:hAnsiTheme="minorBidi"/>
                <w:color w:val="000000"/>
                <w:sz w:val="20"/>
                <w:szCs w:val="20"/>
                <w:highlight w:val="yellow"/>
              </w:rPr>
              <w:t>CPA2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Have PAC</w:t>
            </w:r>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K. </w:t>
            </w:r>
            <w:proofErr w:type="spellStart"/>
            <w:r w:rsidRPr="009F62A2">
              <w:rPr>
                <w:rFonts w:asciiTheme="minorBidi" w:eastAsia="Times New Roman" w:hAnsiTheme="minorBidi"/>
                <w:color w:val="000000"/>
                <w:sz w:val="20"/>
                <w:szCs w:val="20"/>
              </w:rPr>
              <w:t>Chhnang</w:t>
            </w:r>
            <w:proofErr w:type="spellEnd"/>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Kampong </w:t>
            </w:r>
            <w:proofErr w:type="spellStart"/>
            <w:r w:rsidRPr="009F62A2">
              <w:rPr>
                <w:rFonts w:asciiTheme="minorBidi" w:eastAsia="Times New Roman" w:hAnsiTheme="minorBidi"/>
                <w:color w:val="000000"/>
                <w:sz w:val="20"/>
                <w:szCs w:val="20"/>
              </w:rPr>
              <w:t>Chhnang</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Kampong </w:t>
            </w:r>
            <w:proofErr w:type="spellStart"/>
            <w:r w:rsidRPr="009F62A2">
              <w:rPr>
                <w:rFonts w:asciiTheme="minorBidi" w:eastAsia="Times New Roman" w:hAnsiTheme="minorBidi"/>
                <w:color w:val="000000"/>
                <w:sz w:val="20"/>
                <w:szCs w:val="20"/>
              </w:rPr>
              <w:t>Chhnang_Prov</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Hosp</w:t>
            </w:r>
            <w:proofErr w:type="spellEnd"/>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CPA3</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K. </w:t>
            </w:r>
            <w:proofErr w:type="spellStart"/>
            <w:r w:rsidRPr="009F62A2">
              <w:rPr>
                <w:rFonts w:asciiTheme="minorBidi" w:eastAsia="Times New Roman" w:hAnsiTheme="minorBidi"/>
                <w:color w:val="000000"/>
                <w:sz w:val="20"/>
                <w:szCs w:val="20"/>
              </w:rPr>
              <w:t>Chhnang</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Kampong </w:t>
            </w:r>
            <w:proofErr w:type="spellStart"/>
            <w:r w:rsidRPr="009F62A2">
              <w:rPr>
                <w:rFonts w:asciiTheme="minorBidi" w:eastAsia="Times New Roman" w:hAnsiTheme="minorBidi"/>
                <w:color w:val="000000"/>
                <w:sz w:val="20"/>
                <w:szCs w:val="20"/>
              </w:rPr>
              <w:t>Tralach</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Kampong </w:t>
            </w:r>
            <w:proofErr w:type="spellStart"/>
            <w:r w:rsidRPr="009F62A2">
              <w:rPr>
                <w:rFonts w:asciiTheme="minorBidi" w:eastAsia="Times New Roman" w:hAnsiTheme="minorBidi"/>
                <w:color w:val="000000"/>
                <w:sz w:val="20"/>
                <w:szCs w:val="20"/>
              </w:rPr>
              <w:t>Tralach</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315"/>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K. </w:t>
            </w:r>
            <w:proofErr w:type="spellStart"/>
            <w:r w:rsidRPr="009F62A2">
              <w:rPr>
                <w:rFonts w:asciiTheme="minorBidi" w:eastAsia="Times New Roman" w:hAnsiTheme="minorBidi"/>
                <w:color w:val="000000"/>
                <w:sz w:val="20"/>
                <w:szCs w:val="20"/>
              </w:rPr>
              <w:t>Chhnang</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Boribo</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Boribo</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12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K. </w:t>
            </w:r>
            <w:proofErr w:type="spellStart"/>
            <w:r w:rsidRPr="009F62A2">
              <w:rPr>
                <w:rFonts w:asciiTheme="minorBidi" w:eastAsia="Times New Roman" w:hAnsiTheme="minorBidi"/>
                <w:color w:val="000000"/>
                <w:sz w:val="20"/>
                <w:szCs w:val="20"/>
              </w:rPr>
              <w:t>Speu</w:t>
            </w:r>
            <w:proofErr w:type="spellEnd"/>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Kampong </w:t>
            </w:r>
            <w:proofErr w:type="spellStart"/>
            <w:r w:rsidRPr="009F62A2">
              <w:rPr>
                <w:rFonts w:asciiTheme="minorBidi" w:eastAsia="Times New Roman" w:hAnsiTheme="minorBidi"/>
                <w:color w:val="000000"/>
                <w:sz w:val="20"/>
                <w:szCs w:val="20"/>
              </w:rPr>
              <w:t>Speu</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Kampong </w:t>
            </w:r>
            <w:proofErr w:type="spellStart"/>
            <w:r w:rsidRPr="009F62A2">
              <w:rPr>
                <w:rFonts w:asciiTheme="minorBidi" w:eastAsia="Times New Roman" w:hAnsiTheme="minorBidi"/>
                <w:color w:val="000000"/>
                <w:sz w:val="20"/>
                <w:szCs w:val="20"/>
              </w:rPr>
              <w:t>Speu</w:t>
            </w:r>
            <w:proofErr w:type="spellEnd"/>
            <w:r w:rsidRPr="009F62A2">
              <w:rPr>
                <w:rFonts w:asciiTheme="minorBidi" w:eastAsia="Times New Roman" w:hAnsiTheme="minorBidi"/>
                <w:color w:val="000000"/>
                <w:sz w:val="20"/>
                <w:szCs w:val="20"/>
              </w:rPr>
              <w:t xml:space="preserve"> Prov. Hosp.</w:t>
            </w:r>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CPA3</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lastRenderedPageBreak/>
              <w:t xml:space="preserve">K. </w:t>
            </w:r>
            <w:proofErr w:type="spellStart"/>
            <w:r w:rsidRPr="009F62A2">
              <w:rPr>
                <w:rFonts w:asciiTheme="minorBidi" w:eastAsia="Times New Roman" w:hAnsiTheme="minorBidi"/>
                <w:color w:val="000000"/>
                <w:sz w:val="20"/>
                <w:szCs w:val="20"/>
              </w:rPr>
              <w:t>Speu</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Kong </w:t>
            </w:r>
            <w:proofErr w:type="spellStart"/>
            <w:r w:rsidRPr="009F62A2">
              <w:rPr>
                <w:rFonts w:asciiTheme="minorBidi" w:eastAsia="Times New Roman" w:hAnsiTheme="minorBidi"/>
                <w:color w:val="000000"/>
                <w:sz w:val="20"/>
                <w:szCs w:val="20"/>
              </w:rPr>
              <w:t>Pisey</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Kong </w:t>
            </w:r>
            <w:proofErr w:type="spellStart"/>
            <w:r w:rsidRPr="009F62A2">
              <w:rPr>
                <w:rFonts w:asciiTheme="minorBidi" w:eastAsia="Times New Roman" w:hAnsiTheme="minorBidi"/>
                <w:color w:val="000000"/>
                <w:sz w:val="20"/>
                <w:szCs w:val="20"/>
              </w:rPr>
              <w:t>Pisey</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2429A0" w:rsidRDefault="00D4229B" w:rsidP="009F62A2">
            <w:pPr>
              <w:spacing w:after="0" w:line="240" w:lineRule="auto"/>
              <w:jc w:val="center"/>
              <w:rPr>
                <w:rFonts w:asciiTheme="minorBidi" w:eastAsia="Times New Roman" w:hAnsiTheme="minorBidi"/>
                <w:color w:val="000000"/>
                <w:sz w:val="20"/>
                <w:szCs w:val="20"/>
                <w:highlight w:val="yellow"/>
              </w:rPr>
            </w:pPr>
            <w:r w:rsidRPr="002429A0">
              <w:rPr>
                <w:rFonts w:asciiTheme="minorBidi" w:eastAsia="Times New Roman" w:hAnsiTheme="minorBidi"/>
                <w:color w:val="000000"/>
                <w:sz w:val="20"/>
                <w:szCs w:val="20"/>
                <w:highlight w:val="yellow"/>
              </w:rPr>
              <w:t>CPA2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315"/>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K. </w:t>
            </w:r>
            <w:proofErr w:type="spellStart"/>
            <w:r w:rsidRPr="009F62A2">
              <w:rPr>
                <w:rFonts w:asciiTheme="minorBidi" w:eastAsia="Times New Roman" w:hAnsiTheme="minorBidi"/>
                <w:color w:val="000000"/>
                <w:sz w:val="20"/>
                <w:szCs w:val="20"/>
              </w:rPr>
              <w:t>Speu</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Ou</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Dongk</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Ou</w:t>
            </w:r>
            <w:proofErr w:type="spellEnd"/>
            <w:r w:rsidRPr="009F62A2">
              <w:rPr>
                <w:rFonts w:asciiTheme="minorBidi" w:eastAsia="Times New Roman" w:hAnsiTheme="minorBidi"/>
                <w:color w:val="000000"/>
                <w:sz w:val="20"/>
                <w:szCs w:val="20"/>
              </w:rPr>
              <w:t xml:space="preserve"> Dong</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2429A0" w:rsidRDefault="00D4229B" w:rsidP="009F62A2">
            <w:pPr>
              <w:spacing w:after="0" w:line="240" w:lineRule="auto"/>
              <w:jc w:val="center"/>
              <w:rPr>
                <w:rFonts w:asciiTheme="minorBidi" w:eastAsia="Times New Roman" w:hAnsiTheme="minorBidi"/>
                <w:color w:val="000000"/>
                <w:sz w:val="20"/>
                <w:szCs w:val="20"/>
                <w:highlight w:val="yellow"/>
              </w:rPr>
            </w:pPr>
            <w:r w:rsidRPr="002429A0">
              <w:rPr>
                <w:rFonts w:asciiTheme="minorBidi" w:eastAsia="Times New Roman" w:hAnsiTheme="minorBidi"/>
                <w:color w:val="000000"/>
                <w:sz w:val="20"/>
                <w:szCs w:val="20"/>
                <w:highlight w:val="yellow"/>
              </w:rPr>
              <w:t>CPA2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K. Thom</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Baray</w:t>
            </w:r>
            <w:proofErr w:type="spellEnd"/>
            <w:r w:rsidRPr="009F62A2">
              <w:rPr>
                <w:rFonts w:asciiTheme="minorBidi" w:eastAsia="Times New Roman" w:hAnsiTheme="minorBidi"/>
                <w:color w:val="000000"/>
                <w:sz w:val="20"/>
                <w:szCs w:val="20"/>
              </w:rPr>
              <w:t xml:space="preserve"> and </w:t>
            </w:r>
            <w:proofErr w:type="spellStart"/>
            <w:r w:rsidRPr="009F62A2">
              <w:rPr>
                <w:rFonts w:asciiTheme="minorBidi" w:eastAsia="Times New Roman" w:hAnsiTheme="minorBidi"/>
                <w:color w:val="000000"/>
                <w:sz w:val="20"/>
                <w:szCs w:val="20"/>
              </w:rPr>
              <w:t>Santuk</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Baray</w:t>
            </w:r>
            <w:proofErr w:type="spellEnd"/>
            <w:r w:rsidRPr="009F62A2">
              <w:rPr>
                <w:rFonts w:asciiTheme="minorBidi" w:eastAsia="Times New Roman" w:hAnsiTheme="minorBidi"/>
                <w:color w:val="000000"/>
                <w:sz w:val="20"/>
                <w:szCs w:val="20"/>
              </w:rPr>
              <w:t xml:space="preserve"> and </w:t>
            </w:r>
            <w:proofErr w:type="spellStart"/>
            <w:r w:rsidRPr="009F62A2">
              <w:rPr>
                <w:rFonts w:asciiTheme="minorBidi" w:eastAsia="Times New Roman" w:hAnsiTheme="minorBidi"/>
                <w:color w:val="000000"/>
                <w:sz w:val="20"/>
                <w:szCs w:val="20"/>
              </w:rPr>
              <w:t>Santuk</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2429A0" w:rsidRDefault="00D4229B" w:rsidP="009F62A2">
            <w:pPr>
              <w:spacing w:after="0" w:line="240" w:lineRule="auto"/>
              <w:jc w:val="center"/>
              <w:rPr>
                <w:rFonts w:asciiTheme="minorBidi" w:eastAsia="Times New Roman" w:hAnsiTheme="minorBidi"/>
                <w:color w:val="000000"/>
                <w:sz w:val="20"/>
                <w:szCs w:val="20"/>
                <w:highlight w:val="yellow"/>
              </w:rPr>
            </w:pPr>
            <w:r w:rsidRPr="002429A0">
              <w:rPr>
                <w:rFonts w:asciiTheme="minorBidi" w:eastAsia="Times New Roman" w:hAnsiTheme="minorBidi"/>
                <w:color w:val="000000"/>
                <w:sz w:val="20"/>
                <w:szCs w:val="20"/>
                <w:highlight w:val="yellow"/>
              </w:rPr>
              <w:t>CPA2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12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K. Thom</w:t>
            </w:r>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Kampong Thom</w:t>
            </w:r>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Kampong Thom Prov. Hosp.</w:t>
            </w:r>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CPA3</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315"/>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K. Thom</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Stong</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Stong</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2429A0" w:rsidRDefault="00D4229B" w:rsidP="009F62A2">
            <w:pPr>
              <w:spacing w:after="0" w:line="240" w:lineRule="auto"/>
              <w:jc w:val="center"/>
              <w:rPr>
                <w:rFonts w:asciiTheme="minorBidi" w:eastAsia="Times New Roman" w:hAnsiTheme="minorBidi"/>
                <w:color w:val="000000"/>
                <w:sz w:val="20"/>
                <w:szCs w:val="20"/>
                <w:highlight w:val="yellow"/>
              </w:rPr>
            </w:pPr>
            <w:r w:rsidRPr="002429A0">
              <w:rPr>
                <w:rFonts w:asciiTheme="minorBidi" w:eastAsia="Times New Roman" w:hAnsiTheme="minorBidi"/>
                <w:color w:val="000000"/>
                <w:sz w:val="20"/>
                <w:szCs w:val="20"/>
                <w:highlight w:val="yellow"/>
              </w:rPr>
              <w:t>CPA2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Kampot</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Angkor </w:t>
            </w:r>
            <w:proofErr w:type="spellStart"/>
            <w:r w:rsidRPr="009F62A2">
              <w:rPr>
                <w:rFonts w:asciiTheme="minorBidi" w:eastAsia="Times New Roman" w:hAnsiTheme="minorBidi"/>
                <w:color w:val="000000"/>
                <w:sz w:val="20"/>
                <w:szCs w:val="20"/>
              </w:rPr>
              <w:t>Chey</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Angkor </w:t>
            </w:r>
            <w:proofErr w:type="spellStart"/>
            <w:r w:rsidRPr="009F62A2">
              <w:rPr>
                <w:rFonts w:asciiTheme="minorBidi" w:eastAsia="Times New Roman" w:hAnsiTheme="minorBidi"/>
                <w:color w:val="000000"/>
                <w:sz w:val="20"/>
                <w:szCs w:val="20"/>
              </w:rPr>
              <w:t>Chey</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2429A0" w:rsidRDefault="00D4229B" w:rsidP="009F62A2">
            <w:pPr>
              <w:spacing w:after="0" w:line="240" w:lineRule="auto"/>
              <w:jc w:val="center"/>
              <w:rPr>
                <w:rFonts w:asciiTheme="minorBidi" w:eastAsia="Times New Roman" w:hAnsiTheme="minorBidi"/>
                <w:color w:val="000000"/>
                <w:sz w:val="20"/>
                <w:szCs w:val="20"/>
                <w:highlight w:val="yellow"/>
              </w:rPr>
            </w:pPr>
            <w:r w:rsidRPr="002429A0">
              <w:rPr>
                <w:rFonts w:asciiTheme="minorBidi" w:eastAsia="Times New Roman" w:hAnsiTheme="minorBidi"/>
                <w:color w:val="000000"/>
                <w:sz w:val="20"/>
                <w:szCs w:val="20"/>
                <w:highlight w:val="yellow"/>
              </w:rPr>
              <w:t>CPA2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315"/>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Kampot</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Chhouk</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Chhouk</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2429A0" w:rsidRDefault="00D4229B" w:rsidP="009F62A2">
            <w:pPr>
              <w:spacing w:after="0" w:line="240" w:lineRule="auto"/>
              <w:jc w:val="center"/>
              <w:rPr>
                <w:rFonts w:asciiTheme="minorBidi" w:eastAsia="Times New Roman" w:hAnsiTheme="minorBidi"/>
                <w:color w:val="000000"/>
                <w:sz w:val="20"/>
                <w:szCs w:val="20"/>
                <w:highlight w:val="yellow"/>
              </w:rPr>
            </w:pPr>
            <w:r w:rsidRPr="002429A0">
              <w:rPr>
                <w:rFonts w:asciiTheme="minorBidi" w:eastAsia="Times New Roman" w:hAnsiTheme="minorBidi"/>
                <w:color w:val="000000"/>
                <w:sz w:val="20"/>
                <w:szCs w:val="20"/>
                <w:highlight w:val="yellow"/>
              </w:rPr>
              <w:t>CPA2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Kampot</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Kampong </w:t>
            </w:r>
            <w:proofErr w:type="spellStart"/>
            <w:r w:rsidRPr="009F62A2">
              <w:rPr>
                <w:rFonts w:asciiTheme="minorBidi" w:eastAsia="Times New Roman" w:hAnsiTheme="minorBidi"/>
                <w:color w:val="000000"/>
                <w:sz w:val="20"/>
                <w:szCs w:val="20"/>
              </w:rPr>
              <w:t>Trach</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Kampong </w:t>
            </w:r>
            <w:proofErr w:type="spellStart"/>
            <w:r w:rsidRPr="009F62A2">
              <w:rPr>
                <w:rFonts w:asciiTheme="minorBidi" w:eastAsia="Times New Roman" w:hAnsiTheme="minorBidi"/>
                <w:color w:val="000000"/>
                <w:sz w:val="20"/>
                <w:szCs w:val="20"/>
              </w:rPr>
              <w:t>Trach</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2429A0" w:rsidRDefault="00D4229B" w:rsidP="009F62A2">
            <w:pPr>
              <w:spacing w:after="0" w:line="240" w:lineRule="auto"/>
              <w:jc w:val="center"/>
              <w:rPr>
                <w:rFonts w:asciiTheme="minorBidi" w:eastAsia="Times New Roman" w:hAnsiTheme="minorBidi"/>
                <w:color w:val="000000"/>
                <w:sz w:val="20"/>
                <w:szCs w:val="20"/>
                <w:highlight w:val="yellow"/>
              </w:rPr>
            </w:pPr>
            <w:r w:rsidRPr="002429A0">
              <w:rPr>
                <w:rFonts w:asciiTheme="minorBidi" w:eastAsia="Times New Roman" w:hAnsiTheme="minorBidi"/>
                <w:color w:val="000000"/>
                <w:sz w:val="20"/>
                <w:szCs w:val="20"/>
                <w:highlight w:val="yellow"/>
              </w:rPr>
              <w:t>CPA2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Have PAC</w:t>
            </w:r>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Kampot</w:t>
            </w:r>
            <w:proofErr w:type="spellEnd"/>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Kampot</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Kampot</w:t>
            </w:r>
            <w:proofErr w:type="spellEnd"/>
            <w:r w:rsidRPr="009F62A2">
              <w:rPr>
                <w:rFonts w:asciiTheme="minorBidi" w:eastAsia="Times New Roman" w:hAnsiTheme="minorBidi"/>
                <w:color w:val="000000"/>
                <w:sz w:val="20"/>
                <w:szCs w:val="20"/>
              </w:rPr>
              <w:t xml:space="preserve"> Prov. Hosp.</w:t>
            </w:r>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CPA3</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315"/>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Kandal</w:t>
            </w:r>
            <w:proofErr w:type="spellEnd"/>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Kean </w:t>
            </w:r>
            <w:proofErr w:type="spellStart"/>
            <w:r w:rsidRPr="009F62A2">
              <w:rPr>
                <w:rFonts w:asciiTheme="minorBidi" w:eastAsia="Times New Roman" w:hAnsiTheme="minorBidi"/>
                <w:color w:val="000000"/>
                <w:sz w:val="20"/>
                <w:szCs w:val="20"/>
              </w:rPr>
              <w:t>Svay</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Kean </w:t>
            </w:r>
            <w:proofErr w:type="spellStart"/>
            <w:r w:rsidRPr="009F62A2">
              <w:rPr>
                <w:rFonts w:asciiTheme="minorBidi" w:eastAsia="Times New Roman" w:hAnsiTheme="minorBidi"/>
                <w:color w:val="000000"/>
                <w:sz w:val="20"/>
                <w:szCs w:val="20"/>
              </w:rPr>
              <w:t>Svay</w:t>
            </w:r>
            <w:proofErr w:type="spellEnd"/>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Few patients</w:t>
            </w:r>
            <w:r w:rsidR="00AE0961">
              <w:rPr>
                <w:rFonts w:asciiTheme="minorBidi" w:eastAsia="Times New Roman" w:hAnsiTheme="minorBidi"/>
                <w:color w:val="000000"/>
                <w:sz w:val="20"/>
                <w:szCs w:val="20"/>
              </w:rPr>
              <w:t>, No HEF</w:t>
            </w:r>
          </w:p>
        </w:tc>
      </w:tr>
      <w:tr w:rsidR="00D4229B" w:rsidRPr="00355BE5" w:rsidTr="00D4229B">
        <w:trPr>
          <w:trHeight w:val="315"/>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Kandal</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Koh</w:t>
            </w:r>
            <w:proofErr w:type="spellEnd"/>
            <w:r w:rsidRPr="009F62A2">
              <w:rPr>
                <w:rFonts w:asciiTheme="minorBidi" w:eastAsia="Times New Roman" w:hAnsiTheme="minorBidi"/>
                <w:color w:val="000000"/>
                <w:sz w:val="20"/>
                <w:szCs w:val="20"/>
              </w:rPr>
              <w:t xml:space="preserve"> Thom</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Koh</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Thum</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2429A0">
              <w:rPr>
                <w:rFonts w:asciiTheme="minorBidi" w:eastAsia="Times New Roman" w:hAnsiTheme="minorBidi"/>
                <w:color w:val="000000"/>
                <w:sz w:val="20"/>
                <w:szCs w:val="20"/>
                <w:highlight w:val="yellow"/>
              </w:rPr>
              <w:t>CPA2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PAC</w:t>
            </w: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Kandal</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Ksach</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Kandal</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Khsach</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Kandal</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lastRenderedPageBreak/>
              <w:t>Kandal</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Muk</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Kam</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Poul</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Bunrani</w:t>
            </w:r>
            <w:proofErr w:type="spellEnd"/>
            <w:r w:rsidRPr="009F62A2">
              <w:rPr>
                <w:rFonts w:asciiTheme="minorBidi" w:eastAsia="Times New Roman" w:hAnsiTheme="minorBidi"/>
                <w:color w:val="000000"/>
                <w:sz w:val="20"/>
                <w:szCs w:val="20"/>
              </w:rPr>
              <w:t xml:space="preserve"> Hun </w:t>
            </w:r>
            <w:proofErr w:type="spellStart"/>
            <w:r w:rsidRPr="009F62A2">
              <w:rPr>
                <w:rFonts w:asciiTheme="minorBidi" w:eastAsia="Times New Roman" w:hAnsiTheme="minorBidi"/>
                <w:color w:val="000000"/>
                <w:sz w:val="20"/>
                <w:szCs w:val="20"/>
              </w:rPr>
              <w:t>Sen</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Rokakong</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Kandal</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Saang</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Hopital</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saang</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Kandal</w:t>
            </w:r>
            <w:proofErr w:type="spellEnd"/>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Takhmao</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Cheychumnash</w:t>
            </w:r>
            <w:proofErr w:type="spellEnd"/>
            <w:r w:rsidRPr="009F62A2">
              <w:rPr>
                <w:rFonts w:asciiTheme="minorBidi" w:eastAsia="Times New Roman" w:hAnsiTheme="minorBidi"/>
                <w:color w:val="000000"/>
                <w:sz w:val="20"/>
                <w:szCs w:val="20"/>
              </w:rPr>
              <w:t xml:space="preserve"> Hosp.</w:t>
            </w:r>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CPA3</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AE0961" w:rsidP="009F62A2">
            <w:pPr>
              <w:spacing w:after="0" w:line="240" w:lineRule="auto"/>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NGO support, No HEF</w:t>
            </w:r>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Koh</w:t>
            </w:r>
            <w:proofErr w:type="spellEnd"/>
            <w:r w:rsidRPr="009F62A2">
              <w:rPr>
                <w:rFonts w:asciiTheme="minorBidi" w:eastAsia="Times New Roman" w:hAnsiTheme="minorBidi"/>
                <w:color w:val="000000"/>
                <w:sz w:val="20"/>
                <w:szCs w:val="20"/>
              </w:rPr>
              <w:t xml:space="preserve"> Kong</w:t>
            </w:r>
          </w:p>
        </w:tc>
        <w:tc>
          <w:tcPr>
            <w:tcW w:w="171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Smach</w:t>
            </w:r>
            <w:proofErr w:type="spellEnd"/>
            <w:r w:rsidRPr="009F62A2">
              <w:rPr>
                <w:rFonts w:asciiTheme="minorBidi" w:eastAsia="Times New Roman" w:hAnsiTheme="minorBidi"/>
                <w:color w:val="000000"/>
                <w:sz w:val="20"/>
                <w:szCs w:val="20"/>
              </w:rPr>
              <w:t xml:space="preserve"> Mean </w:t>
            </w:r>
            <w:proofErr w:type="spellStart"/>
            <w:r w:rsidRPr="009F62A2">
              <w:rPr>
                <w:rFonts w:asciiTheme="minorBidi" w:eastAsia="Times New Roman" w:hAnsiTheme="minorBidi"/>
                <w:color w:val="000000"/>
                <w:sz w:val="20"/>
                <w:szCs w:val="20"/>
              </w:rPr>
              <w:t>Chey</w:t>
            </w:r>
            <w:proofErr w:type="spellEnd"/>
          </w:p>
        </w:tc>
        <w:tc>
          <w:tcPr>
            <w:tcW w:w="144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Koh</w:t>
            </w:r>
            <w:proofErr w:type="spellEnd"/>
            <w:r w:rsidRPr="009F62A2">
              <w:rPr>
                <w:rFonts w:asciiTheme="minorBidi" w:eastAsia="Times New Roman" w:hAnsiTheme="minorBidi"/>
                <w:color w:val="000000"/>
                <w:sz w:val="20"/>
                <w:szCs w:val="20"/>
              </w:rPr>
              <w:t xml:space="preserve"> Kong Prov. Hosp.</w:t>
            </w:r>
          </w:p>
        </w:tc>
        <w:tc>
          <w:tcPr>
            <w:tcW w:w="90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CPA3</w:t>
            </w:r>
          </w:p>
        </w:tc>
        <w:tc>
          <w:tcPr>
            <w:tcW w:w="919"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81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FFFF0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PAC</w:t>
            </w: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Koh</w:t>
            </w:r>
            <w:proofErr w:type="spellEnd"/>
            <w:r w:rsidRPr="009F62A2">
              <w:rPr>
                <w:rFonts w:asciiTheme="minorBidi" w:eastAsia="Times New Roman" w:hAnsiTheme="minorBidi"/>
                <w:color w:val="000000"/>
                <w:sz w:val="20"/>
                <w:szCs w:val="20"/>
              </w:rPr>
              <w:t xml:space="preserve"> Kong</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Srae</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Ambel</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SraeAmbel</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pac</w:t>
            </w:r>
            <w:proofErr w:type="spellEnd"/>
          </w:p>
        </w:tc>
      </w:tr>
      <w:tr w:rsidR="00D4229B" w:rsidRPr="00355BE5" w:rsidTr="00D4229B">
        <w:trPr>
          <w:trHeight w:val="315"/>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Kratie</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Chhlong</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Chhlong</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2429A0">
              <w:rPr>
                <w:rFonts w:asciiTheme="minorBidi" w:eastAsia="Times New Roman" w:hAnsiTheme="minorBidi"/>
                <w:color w:val="000000"/>
                <w:sz w:val="20"/>
                <w:szCs w:val="20"/>
                <w:highlight w:val="yellow"/>
              </w:rPr>
              <w:t>CPA2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Kratie</w:t>
            </w:r>
            <w:proofErr w:type="spellEnd"/>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Kratie</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Kratie</w:t>
            </w:r>
            <w:proofErr w:type="spellEnd"/>
            <w:r w:rsidRPr="009F62A2">
              <w:rPr>
                <w:rFonts w:asciiTheme="minorBidi" w:eastAsia="Times New Roman" w:hAnsiTheme="minorBidi"/>
                <w:color w:val="000000"/>
                <w:sz w:val="20"/>
                <w:szCs w:val="20"/>
              </w:rPr>
              <w:t xml:space="preserve"> Prov. Hosp.</w:t>
            </w:r>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CPA3</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315"/>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Kratie</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Kratie</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Snoul</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Mondulkiri</w:t>
            </w:r>
            <w:proofErr w:type="spellEnd"/>
          </w:p>
        </w:tc>
        <w:tc>
          <w:tcPr>
            <w:tcW w:w="171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Sen</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Monorom</w:t>
            </w:r>
            <w:proofErr w:type="spellEnd"/>
          </w:p>
        </w:tc>
        <w:tc>
          <w:tcPr>
            <w:tcW w:w="144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Mondul</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Kiri</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Prov</w:t>
            </w:r>
            <w:proofErr w:type="spellEnd"/>
            <w:r w:rsidRPr="009F62A2">
              <w:rPr>
                <w:rFonts w:asciiTheme="minorBidi" w:eastAsia="Times New Roman" w:hAnsiTheme="minorBidi"/>
                <w:color w:val="000000"/>
                <w:sz w:val="20"/>
                <w:szCs w:val="20"/>
              </w:rPr>
              <w:t xml:space="preserve"> Hosp.</w:t>
            </w:r>
          </w:p>
        </w:tc>
        <w:tc>
          <w:tcPr>
            <w:tcW w:w="90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CPA2</w:t>
            </w:r>
          </w:p>
        </w:tc>
        <w:tc>
          <w:tcPr>
            <w:tcW w:w="919"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81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FFFF0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PP</w:t>
            </w:r>
          </w:p>
        </w:tc>
        <w:tc>
          <w:tcPr>
            <w:tcW w:w="17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Cheung</w:t>
            </w:r>
          </w:p>
        </w:tc>
        <w:tc>
          <w:tcPr>
            <w:tcW w:w="144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Samdech</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Ov</w:t>
            </w:r>
            <w:proofErr w:type="spellEnd"/>
            <w:r w:rsidRPr="009F62A2">
              <w:rPr>
                <w:rFonts w:asciiTheme="minorBidi" w:eastAsia="Times New Roman" w:hAnsiTheme="minorBidi"/>
                <w:color w:val="000000"/>
                <w:sz w:val="20"/>
                <w:szCs w:val="20"/>
              </w:rPr>
              <w:t xml:space="preserve"> Hospital</w:t>
            </w:r>
          </w:p>
        </w:tc>
        <w:tc>
          <w:tcPr>
            <w:tcW w:w="90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FFC00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Lack of patients</w:t>
            </w: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PP</w:t>
            </w:r>
          </w:p>
        </w:tc>
        <w:tc>
          <w:tcPr>
            <w:tcW w:w="17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Kandal</w:t>
            </w:r>
            <w:proofErr w:type="spellEnd"/>
          </w:p>
        </w:tc>
        <w:tc>
          <w:tcPr>
            <w:tcW w:w="144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Municipal Hospital</w:t>
            </w:r>
          </w:p>
        </w:tc>
        <w:tc>
          <w:tcPr>
            <w:tcW w:w="90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CPA3</w:t>
            </w:r>
          </w:p>
        </w:tc>
        <w:tc>
          <w:tcPr>
            <w:tcW w:w="919"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FFC00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Lack of patients</w:t>
            </w:r>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lastRenderedPageBreak/>
              <w:t>PP</w:t>
            </w:r>
          </w:p>
        </w:tc>
        <w:tc>
          <w:tcPr>
            <w:tcW w:w="17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Kandal</w:t>
            </w:r>
            <w:proofErr w:type="spellEnd"/>
          </w:p>
        </w:tc>
        <w:tc>
          <w:tcPr>
            <w:tcW w:w="144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Chamkar</w:t>
            </w:r>
            <w:proofErr w:type="spellEnd"/>
            <w:r w:rsidRPr="009F62A2">
              <w:rPr>
                <w:rFonts w:asciiTheme="minorBidi" w:eastAsia="Times New Roman" w:hAnsiTheme="minorBidi"/>
                <w:color w:val="000000"/>
                <w:sz w:val="20"/>
                <w:szCs w:val="20"/>
              </w:rPr>
              <w:t xml:space="preserve"> Morn Hospital</w:t>
            </w:r>
          </w:p>
        </w:tc>
        <w:tc>
          <w:tcPr>
            <w:tcW w:w="90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FFC00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Lack of patients</w:t>
            </w:r>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PP</w:t>
            </w:r>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Lech</w:t>
            </w:r>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Pochentong</w:t>
            </w:r>
            <w:proofErr w:type="spellEnd"/>
            <w:r w:rsidRPr="009F62A2">
              <w:rPr>
                <w:rFonts w:asciiTheme="minorBidi" w:eastAsia="Times New Roman" w:hAnsiTheme="minorBidi"/>
                <w:color w:val="000000"/>
                <w:sz w:val="20"/>
                <w:szCs w:val="20"/>
              </w:rPr>
              <w:t xml:space="preserve"> Hospital</w:t>
            </w:r>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Only </w:t>
            </w:r>
            <w:proofErr w:type="spellStart"/>
            <w:r w:rsidRPr="009F62A2">
              <w:rPr>
                <w:rFonts w:asciiTheme="minorBidi" w:eastAsia="Times New Roman" w:hAnsiTheme="minorBidi"/>
                <w:color w:val="000000"/>
                <w:sz w:val="20"/>
                <w:szCs w:val="20"/>
              </w:rPr>
              <w:t>opd</w:t>
            </w:r>
            <w:proofErr w:type="spellEnd"/>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PP</w:t>
            </w:r>
          </w:p>
        </w:tc>
        <w:tc>
          <w:tcPr>
            <w:tcW w:w="17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Tbong</w:t>
            </w:r>
            <w:proofErr w:type="spellEnd"/>
          </w:p>
        </w:tc>
        <w:tc>
          <w:tcPr>
            <w:tcW w:w="144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Mean </w:t>
            </w:r>
            <w:proofErr w:type="spellStart"/>
            <w:r w:rsidRPr="009F62A2">
              <w:rPr>
                <w:rFonts w:asciiTheme="minorBidi" w:eastAsia="Times New Roman" w:hAnsiTheme="minorBidi"/>
                <w:color w:val="000000"/>
                <w:sz w:val="20"/>
                <w:szCs w:val="20"/>
              </w:rPr>
              <w:t>Chey</w:t>
            </w:r>
            <w:proofErr w:type="spellEnd"/>
            <w:r w:rsidRPr="009F62A2">
              <w:rPr>
                <w:rFonts w:asciiTheme="minorBidi" w:eastAsia="Times New Roman" w:hAnsiTheme="minorBidi"/>
                <w:color w:val="000000"/>
                <w:sz w:val="20"/>
                <w:szCs w:val="20"/>
              </w:rPr>
              <w:t xml:space="preserve"> Hospital</w:t>
            </w:r>
          </w:p>
        </w:tc>
        <w:tc>
          <w:tcPr>
            <w:tcW w:w="90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FFC00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Lack of patients</w:t>
            </w: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PP</w:t>
            </w:r>
          </w:p>
        </w:tc>
        <w:tc>
          <w:tcPr>
            <w:tcW w:w="17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Ang</w:t>
            </w:r>
            <w:proofErr w:type="spellEnd"/>
            <w:r w:rsidRPr="009F62A2">
              <w:rPr>
                <w:rFonts w:asciiTheme="minorBidi" w:eastAsia="Times New Roman" w:hAnsiTheme="minorBidi"/>
                <w:color w:val="000000"/>
                <w:sz w:val="20"/>
                <w:szCs w:val="20"/>
              </w:rPr>
              <w:t xml:space="preserve"> Duong</w:t>
            </w:r>
          </w:p>
        </w:tc>
        <w:tc>
          <w:tcPr>
            <w:tcW w:w="90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Specialized HF</w:t>
            </w:r>
          </w:p>
        </w:tc>
        <w:tc>
          <w:tcPr>
            <w:tcW w:w="919"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FFC00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No pediatric ward</w:t>
            </w:r>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S. Reap</w:t>
            </w:r>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Angkor Pediatric Hospital</w:t>
            </w:r>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Specialized HF</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AE0961" w:rsidP="009F62A2">
            <w:pPr>
              <w:spacing w:after="0" w:line="240" w:lineRule="auto"/>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NGO support</w:t>
            </w: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PP</w:t>
            </w:r>
          </w:p>
        </w:tc>
        <w:tc>
          <w:tcPr>
            <w:tcW w:w="17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Calmette</w:t>
            </w:r>
            <w:proofErr w:type="spellEnd"/>
          </w:p>
        </w:tc>
        <w:tc>
          <w:tcPr>
            <w:tcW w:w="90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Specialized HF</w:t>
            </w:r>
          </w:p>
        </w:tc>
        <w:tc>
          <w:tcPr>
            <w:tcW w:w="919"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FFC00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No pediatric ward</w:t>
            </w: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PP</w:t>
            </w:r>
          </w:p>
        </w:tc>
        <w:tc>
          <w:tcPr>
            <w:tcW w:w="17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CENAT</w:t>
            </w:r>
          </w:p>
        </w:tc>
        <w:tc>
          <w:tcPr>
            <w:tcW w:w="90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Specialized HF</w:t>
            </w:r>
          </w:p>
        </w:tc>
        <w:tc>
          <w:tcPr>
            <w:tcW w:w="919"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FFC00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No pediatric ward</w:t>
            </w: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S. Reap</w:t>
            </w:r>
          </w:p>
        </w:tc>
        <w:tc>
          <w:tcPr>
            <w:tcW w:w="171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JaYa</w:t>
            </w:r>
            <w:proofErr w:type="spellEnd"/>
            <w:r w:rsidRPr="009F62A2">
              <w:rPr>
                <w:rFonts w:asciiTheme="minorBidi" w:eastAsia="Times New Roman" w:hAnsiTheme="minorBidi"/>
                <w:color w:val="000000"/>
                <w:sz w:val="20"/>
                <w:szCs w:val="20"/>
              </w:rPr>
              <w:t xml:space="preserve"> 7</w:t>
            </w:r>
          </w:p>
        </w:tc>
        <w:tc>
          <w:tcPr>
            <w:tcW w:w="90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Specialized HF</w:t>
            </w:r>
          </w:p>
        </w:tc>
        <w:tc>
          <w:tcPr>
            <w:tcW w:w="919"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FFFF0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12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lastRenderedPageBreak/>
              <w:t>PP</w:t>
            </w:r>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Khmer-Soviet Friendship</w:t>
            </w:r>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Specialized HF</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PP</w:t>
            </w:r>
          </w:p>
        </w:tc>
        <w:tc>
          <w:tcPr>
            <w:tcW w:w="17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Kossamak</w:t>
            </w:r>
            <w:proofErr w:type="spellEnd"/>
          </w:p>
        </w:tc>
        <w:tc>
          <w:tcPr>
            <w:tcW w:w="90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Specialized HF</w:t>
            </w:r>
          </w:p>
        </w:tc>
        <w:tc>
          <w:tcPr>
            <w:tcW w:w="919"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FFC00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No pediatric ward</w:t>
            </w: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PP</w:t>
            </w:r>
          </w:p>
        </w:tc>
        <w:tc>
          <w:tcPr>
            <w:tcW w:w="171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Kantha</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Bopha</w:t>
            </w:r>
            <w:proofErr w:type="spellEnd"/>
          </w:p>
        </w:tc>
        <w:tc>
          <w:tcPr>
            <w:tcW w:w="90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Specialized HF</w:t>
            </w:r>
          </w:p>
        </w:tc>
        <w:tc>
          <w:tcPr>
            <w:tcW w:w="919"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bookmarkStart w:id="5" w:name="_GoBack"/>
            <w:bookmarkEnd w:id="5"/>
          </w:p>
        </w:tc>
        <w:tc>
          <w:tcPr>
            <w:tcW w:w="81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FFFF0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PP</w:t>
            </w:r>
          </w:p>
        </w:tc>
        <w:tc>
          <w:tcPr>
            <w:tcW w:w="17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MCH</w:t>
            </w:r>
          </w:p>
        </w:tc>
        <w:tc>
          <w:tcPr>
            <w:tcW w:w="90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Specialized HF</w:t>
            </w:r>
          </w:p>
        </w:tc>
        <w:tc>
          <w:tcPr>
            <w:tcW w:w="919"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FFC00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No pediatric ward</w:t>
            </w: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PP</w:t>
            </w:r>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National Pediatric</w:t>
            </w:r>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Specialized HF</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Training Center</w:t>
            </w:r>
            <w:r w:rsidR="00AE0961">
              <w:rPr>
                <w:rFonts w:asciiTheme="minorBidi" w:eastAsia="Times New Roman" w:hAnsiTheme="minorBidi"/>
                <w:color w:val="000000"/>
                <w:sz w:val="20"/>
                <w:szCs w:val="20"/>
              </w:rPr>
              <w:t>, No HEF</w:t>
            </w:r>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P. </w:t>
            </w:r>
            <w:proofErr w:type="spellStart"/>
            <w:r w:rsidRPr="009F62A2">
              <w:rPr>
                <w:rFonts w:asciiTheme="minorBidi" w:eastAsia="Times New Roman" w:hAnsiTheme="minorBidi"/>
                <w:color w:val="000000"/>
                <w:sz w:val="20"/>
                <w:szCs w:val="20"/>
              </w:rPr>
              <w:t>Vihear</w:t>
            </w:r>
            <w:proofErr w:type="spellEnd"/>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Tbeng</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Meanchey</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P </w:t>
            </w:r>
            <w:proofErr w:type="spellStart"/>
            <w:r w:rsidRPr="009F62A2">
              <w:rPr>
                <w:rFonts w:asciiTheme="minorBidi" w:eastAsia="Times New Roman" w:hAnsiTheme="minorBidi"/>
                <w:color w:val="000000"/>
                <w:sz w:val="20"/>
                <w:szCs w:val="20"/>
              </w:rPr>
              <w:t>Vihear</w:t>
            </w:r>
            <w:proofErr w:type="spellEnd"/>
            <w:r w:rsidRPr="009F62A2">
              <w:rPr>
                <w:rFonts w:asciiTheme="minorBidi" w:eastAsia="Times New Roman" w:hAnsiTheme="minorBidi"/>
                <w:color w:val="000000"/>
                <w:sz w:val="20"/>
                <w:szCs w:val="20"/>
              </w:rPr>
              <w:t xml:space="preserve"> 16 </w:t>
            </w:r>
            <w:proofErr w:type="spellStart"/>
            <w:r w:rsidRPr="009F62A2">
              <w:rPr>
                <w:rFonts w:asciiTheme="minorBidi" w:eastAsia="Times New Roman" w:hAnsiTheme="minorBidi"/>
                <w:color w:val="000000"/>
                <w:sz w:val="20"/>
                <w:szCs w:val="20"/>
              </w:rPr>
              <w:t>Makara</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Prov</w:t>
            </w:r>
            <w:proofErr w:type="spellEnd"/>
            <w:r w:rsidRPr="009F62A2">
              <w:rPr>
                <w:rFonts w:asciiTheme="minorBidi" w:eastAsia="Times New Roman" w:hAnsiTheme="minorBidi"/>
                <w:color w:val="000000"/>
                <w:sz w:val="20"/>
                <w:szCs w:val="20"/>
              </w:rPr>
              <w:t xml:space="preserve"> Hos</w:t>
            </w:r>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P. </w:t>
            </w:r>
            <w:proofErr w:type="spellStart"/>
            <w:r w:rsidRPr="009F62A2">
              <w:rPr>
                <w:rFonts w:asciiTheme="minorBidi" w:eastAsia="Times New Roman" w:hAnsiTheme="minorBidi"/>
                <w:color w:val="000000"/>
                <w:sz w:val="20"/>
                <w:szCs w:val="20"/>
              </w:rPr>
              <w:t>Veng</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Kamchay</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Mear</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Kamchay</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Mear</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P. </w:t>
            </w:r>
            <w:proofErr w:type="spellStart"/>
            <w:r w:rsidRPr="009F62A2">
              <w:rPr>
                <w:rFonts w:asciiTheme="minorBidi" w:eastAsia="Times New Roman" w:hAnsiTheme="minorBidi"/>
                <w:color w:val="000000"/>
                <w:sz w:val="20"/>
                <w:szCs w:val="20"/>
              </w:rPr>
              <w:t>Veng</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Kampong </w:t>
            </w:r>
            <w:proofErr w:type="spellStart"/>
            <w:r w:rsidRPr="009F62A2">
              <w:rPr>
                <w:rFonts w:asciiTheme="minorBidi" w:eastAsia="Times New Roman" w:hAnsiTheme="minorBidi"/>
                <w:color w:val="000000"/>
                <w:sz w:val="20"/>
                <w:szCs w:val="20"/>
              </w:rPr>
              <w:t>Trabek</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Kampong </w:t>
            </w:r>
            <w:proofErr w:type="spellStart"/>
            <w:r w:rsidRPr="009F62A2">
              <w:rPr>
                <w:rFonts w:asciiTheme="minorBidi" w:eastAsia="Times New Roman" w:hAnsiTheme="minorBidi"/>
                <w:color w:val="000000"/>
                <w:sz w:val="20"/>
                <w:szCs w:val="20"/>
              </w:rPr>
              <w:t>Trabek</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2429A0">
              <w:rPr>
                <w:rFonts w:asciiTheme="minorBidi" w:eastAsia="Times New Roman" w:hAnsiTheme="minorBidi"/>
                <w:color w:val="000000"/>
                <w:sz w:val="20"/>
                <w:szCs w:val="20"/>
                <w:highlight w:val="yellow"/>
              </w:rPr>
              <w:t>CPA2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315"/>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P. </w:t>
            </w:r>
            <w:proofErr w:type="spellStart"/>
            <w:r w:rsidRPr="009F62A2">
              <w:rPr>
                <w:rFonts w:asciiTheme="minorBidi" w:eastAsia="Times New Roman" w:hAnsiTheme="minorBidi"/>
                <w:color w:val="000000"/>
                <w:sz w:val="20"/>
                <w:szCs w:val="20"/>
              </w:rPr>
              <w:t>Veng</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Mesang</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Mesang</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lastRenderedPageBreak/>
              <w:t xml:space="preserve">P. </w:t>
            </w:r>
            <w:proofErr w:type="spellStart"/>
            <w:r w:rsidRPr="009F62A2">
              <w:rPr>
                <w:rFonts w:asciiTheme="minorBidi" w:eastAsia="Times New Roman" w:hAnsiTheme="minorBidi"/>
                <w:color w:val="000000"/>
                <w:sz w:val="20"/>
                <w:szCs w:val="20"/>
              </w:rPr>
              <w:t>Veng</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Neak</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Loeung</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Neak</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Loeung</w:t>
            </w:r>
            <w:proofErr w:type="spellEnd"/>
            <w:r w:rsidRPr="009F62A2">
              <w:rPr>
                <w:rFonts w:asciiTheme="minorBidi" w:eastAsia="Times New Roman" w:hAnsiTheme="minorBidi"/>
                <w:color w:val="000000"/>
                <w:sz w:val="20"/>
                <w:szCs w:val="20"/>
              </w:rPr>
              <w:t xml:space="preserve"> Hospital</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2429A0">
              <w:rPr>
                <w:rFonts w:asciiTheme="minorBidi" w:eastAsia="Times New Roman" w:hAnsiTheme="minorBidi"/>
                <w:color w:val="000000"/>
                <w:sz w:val="20"/>
                <w:szCs w:val="20"/>
                <w:highlight w:val="yellow"/>
              </w:rPr>
              <w:t>CPA2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pac</w:t>
            </w:r>
            <w:proofErr w:type="spellEnd"/>
          </w:p>
        </w:tc>
      </w:tr>
      <w:tr w:rsidR="00D4229B" w:rsidRPr="00355BE5" w:rsidTr="00D4229B">
        <w:trPr>
          <w:trHeight w:val="315"/>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P. </w:t>
            </w:r>
            <w:proofErr w:type="spellStart"/>
            <w:r w:rsidRPr="009F62A2">
              <w:rPr>
                <w:rFonts w:asciiTheme="minorBidi" w:eastAsia="Times New Roman" w:hAnsiTheme="minorBidi"/>
                <w:color w:val="000000"/>
                <w:sz w:val="20"/>
                <w:szCs w:val="20"/>
              </w:rPr>
              <w:t>Veng</w:t>
            </w:r>
            <w:proofErr w:type="spellEnd"/>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Pearaing</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Peareang</w:t>
            </w:r>
            <w:proofErr w:type="spellEnd"/>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CPA2</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Start q4</w:t>
            </w: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P. </w:t>
            </w:r>
            <w:proofErr w:type="spellStart"/>
            <w:r w:rsidRPr="009F62A2">
              <w:rPr>
                <w:rFonts w:asciiTheme="minorBidi" w:eastAsia="Times New Roman" w:hAnsiTheme="minorBidi"/>
                <w:color w:val="000000"/>
                <w:sz w:val="20"/>
                <w:szCs w:val="20"/>
              </w:rPr>
              <w:t>Veng</w:t>
            </w:r>
            <w:proofErr w:type="spellEnd"/>
          </w:p>
        </w:tc>
        <w:tc>
          <w:tcPr>
            <w:tcW w:w="17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Preah</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Sdach</w:t>
            </w:r>
            <w:proofErr w:type="spellEnd"/>
          </w:p>
        </w:tc>
        <w:tc>
          <w:tcPr>
            <w:tcW w:w="144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Preah</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Sdach</w:t>
            </w:r>
            <w:proofErr w:type="spellEnd"/>
          </w:p>
        </w:tc>
        <w:tc>
          <w:tcPr>
            <w:tcW w:w="90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FFC00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Shortage of staff</w:t>
            </w:r>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P. </w:t>
            </w:r>
            <w:proofErr w:type="spellStart"/>
            <w:r w:rsidRPr="009F62A2">
              <w:rPr>
                <w:rFonts w:asciiTheme="minorBidi" w:eastAsia="Times New Roman" w:hAnsiTheme="minorBidi"/>
                <w:color w:val="000000"/>
                <w:sz w:val="20"/>
                <w:szCs w:val="20"/>
              </w:rPr>
              <w:t>Veng</w:t>
            </w:r>
            <w:proofErr w:type="spellEnd"/>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Svay</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Antor</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Prey </w:t>
            </w:r>
            <w:proofErr w:type="spellStart"/>
            <w:r w:rsidRPr="009F62A2">
              <w:rPr>
                <w:rFonts w:asciiTheme="minorBidi" w:eastAsia="Times New Roman" w:hAnsiTheme="minorBidi"/>
                <w:color w:val="000000"/>
                <w:sz w:val="20"/>
                <w:szCs w:val="20"/>
              </w:rPr>
              <w:t>Veng</w:t>
            </w:r>
            <w:proofErr w:type="spellEnd"/>
            <w:r w:rsidRPr="009F62A2">
              <w:rPr>
                <w:rFonts w:asciiTheme="minorBidi" w:eastAsia="Times New Roman" w:hAnsiTheme="minorBidi"/>
                <w:color w:val="000000"/>
                <w:sz w:val="20"/>
                <w:szCs w:val="20"/>
              </w:rPr>
              <w:t xml:space="preserve"> Prov. Hosp.</w:t>
            </w:r>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CPA3</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AE0961" w:rsidP="009F62A2">
            <w:pPr>
              <w:spacing w:after="0" w:line="240" w:lineRule="auto"/>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No HEF</w:t>
            </w:r>
          </w:p>
        </w:tc>
      </w:tr>
      <w:tr w:rsidR="00D4229B" w:rsidRPr="00355BE5" w:rsidTr="00D4229B">
        <w:trPr>
          <w:trHeight w:val="315"/>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Pursat</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Bakan</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Bakan</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2429A0">
              <w:rPr>
                <w:rFonts w:asciiTheme="minorBidi" w:eastAsia="Times New Roman" w:hAnsiTheme="minorBidi"/>
                <w:color w:val="000000"/>
                <w:sz w:val="20"/>
                <w:szCs w:val="20"/>
                <w:highlight w:val="yellow"/>
              </w:rPr>
              <w:t>CPA2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Pursat</w:t>
            </w:r>
            <w:proofErr w:type="spellEnd"/>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Sampov</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Meas</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Pursat</w:t>
            </w:r>
            <w:proofErr w:type="spellEnd"/>
            <w:r w:rsidRPr="009F62A2">
              <w:rPr>
                <w:rFonts w:asciiTheme="minorBidi" w:eastAsia="Times New Roman" w:hAnsiTheme="minorBidi"/>
                <w:color w:val="000000"/>
                <w:sz w:val="20"/>
                <w:szCs w:val="20"/>
              </w:rPr>
              <w:t xml:space="preserve"> Prov. Hosp.</w:t>
            </w:r>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CPA3</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Ratanakiri</w:t>
            </w:r>
            <w:proofErr w:type="spellEnd"/>
          </w:p>
        </w:tc>
        <w:tc>
          <w:tcPr>
            <w:tcW w:w="171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Banlong</w:t>
            </w:r>
            <w:proofErr w:type="spellEnd"/>
          </w:p>
        </w:tc>
        <w:tc>
          <w:tcPr>
            <w:tcW w:w="144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Ratanakiri</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Prov</w:t>
            </w:r>
            <w:proofErr w:type="spellEnd"/>
            <w:r w:rsidRPr="009F62A2">
              <w:rPr>
                <w:rFonts w:asciiTheme="minorBidi" w:eastAsia="Times New Roman" w:hAnsiTheme="minorBidi"/>
                <w:color w:val="000000"/>
                <w:sz w:val="20"/>
                <w:szCs w:val="20"/>
              </w:rPr>
              <w:t xml:space="preserve"> Hos</w:t>
            </w:r>
          </w:p>
        </w:tc>
        <w:tc>
          <w:tcPr>
            <w:tcW w:w="90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CPA2</w:t>
            </w:r>
          </w:p>
        </w:tc>
        <w:tc>
          <w:tcPr>
            <w:tcW w:w="919"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810" w:type="dxa"/>
            <w:tcBorders>
              <w:top w:val="single" w:sz="4" w:space="0" w:color="auto"/>
              <w:left w:val="nil"/>
              <w:bottom w:val="single" w:sz="4" w:space="0" w:color="auto"/>
              <w:right w:val="single" w:sz="4" w:space="0" w:color="auto"/>
            </w:tcBorders>
            <w:shd w:val="clear" w:color="auto" w:fill="FFFF0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FFFF0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315"/>
        </w:trPr>
        <w:tc>
          <w:tcPr>
            <w:tcW w:w="181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Siem</w:t>
            </w:r>
            <w:proofErr w:type="spellEnd"/>
            <w:r w:rsidRPr="009F62A2">
              <w:rPr>
                <w:rFonts w:asciiTheme="minorBidi" w:eastAsia="Times New Roman" w:hAnsiTheme="minorBidi"/>
                <w:color w:val="000000"/>
                <w:sz w:val="20"/>
                <w:szCs w:val="20"/>
              </w:rPr>
              <w:t xml:space="preserve"> Reap</w:t>
            </w:r>
          </w:p>
        </w:tc>
        <w:tc>
          <w:tcPr>
            <w:tcW w:w="17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Kralanh</w:t>
            </w:r>
            <w:proofErr w:type="spellEnd"/>
          </w:p>
        </w:tc>
        <w:tc>
          <w:tcPr>
            <w:tcW w:w="144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Kralanh</w:t>
            </w:r>
            <w:proofErr w:type="spellEnd"/>
          </w:p>
        </w:tc>
        <w:tc>
          <w:tcPr>
            <w:tcW w:w="90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CPA2</w:t>
            </w:r>
          </w:p>
        </w:tc>
        <w:tc>
          <w:tcPr>
            <w:tcW w:w="919"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FFC00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Lack of patients</w:t>
            </w:r>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Siem</w:t>
            </w:r>
            <w:proofErr w:type="spellEnd"/>
            <w:r w:rsidRPr="009F62A2">
              <w:rPr>
                <w:rFonts w:asciiTheme="minorBidi" w:eastAsia="Times New Roman" w:hAnsiTheme="minorBidi"/>
                <w:color w:val="000000"/>
                <w:sz w:val="20"/>
                <w:szCs w:val="20"/>
              </w:rPr>
              <w:t xml:space="preserve"> Reap</w:t>
            </w:r>
          </w:p>
        </w:tc>
        <w:tc>
          <w:tcPr>
            <w:tcW w:w="17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Siem</w:t>
            </w:r>
            <w:proofErr w:type="spellEnd"/>
            <w:r w:rsidRPr="009F62A2">
              <w:rPr>
                <w:rFonts w:asciiTheme="minorBidi" w:eastAsia="Times New Roman" w:hAnsiTheme="minorBidi"/>
                <w:color w:val="000000"/>
                <w:sz w:val="20"/>
                <w:szCs w:val="20"/>
              </w:rPr>
              <w:t xml:space="preserve"> Reap</w:t>
            </w:r>
          </w:p>
        </w:tc>
        <w:tc>
          <w:tcPr>
            <w:tcW w:w="144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Siem</w:t>
            </w:r>
            <w:proofErr w:type="spellEnd"/>
            <w:r w:rsidRPr="009F62A2">
              <w:rPr>
                <w:rFonts w:asciiTheme="minorBidi" w:eastAsia="Times New Roman" w:hAnsiTheme="minorBidi"/>
                <w:color w:val="000000"/>
                <w:sz w:val="20"/>
                <w:szCs w:val="20"/>
              </w:rPr>
              <w:t xml:space="preserve"> Reap Prov. Hosp.</w:t>
            </w:r>
          </w:p>
        </w:tc>
        <w:tc>
          <w:tcPr>
            <w:tcW w:w="90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CPA3</w:t>
            </w:r>
          </w:p>
        </w:tc>
        <w:tc>
          <w:tcPr>
            <w:tcW w:w="919"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FFC00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Lack of patients</w:t>
            </w: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Siem</w:t>
            </w:r>
            <w:proofErr w:type="spellEnd"/>
            <w:r w:rsidRPr="009F62A2">
              <w:rPr>
                <w:rFonts w:asciiTheme="minorBidi" w:eastAsia="Times New Roman" w:hAnsiTheme="minorBidi"/>
                <w:color w:val="000000"/>
                <w:sz w:val="20"/>
                <w:szCs w:val="20"/>
              </w:rPr>
              <w:t xml:space="preserve"> Reap</w:t>
            </w:r>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Sot </w:t>
            </w:r>
            <w:proofErr w:type="spellStart"/>
            <w:r w:rsidRPr="009F62A2">
              <w:rPr>
                <w:rFonts w:asciiTheme="minorBidi" w:eastAsia="Times New Roman" w:hAnsiTheme="minorBidi"/>
                <w:color w:val="000000"/>
                <w:sz w:val="20"/>
                <w:szCs w:val="20"/>
              </w:rPr>
              <w:t>Nikum</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Sotr</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Nikum</w:t>
            </w:r>
            <w:proofErr w:type="spellEnd"/>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CPA2</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Ngo support</w:t>
            </w: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Siem</w:t>
            </w:r>
            <w:proofErr w:type="spellEnd"/>
            <w:r w:rsidRPr="009F62A2">
              <w:rPr>
                <w:rFonts w:asciiTheme="minorBidi" w:eastAsia="Times New Roman" w:hAnsiTheme="minorBidi"/>
                <w:color w:val="000000"/>
                <w:sz w:val="20"/>
                <w:szCs w:val="20"/>
              </w:rPr>
              <w:t xml:space="preserve"> Reap</w:t>
            </w:r>
          </w:p>
        </w:tc>
        <w:tc>
          <w:tcPr>
            <w:tcW w:w="17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Ankor</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Chhum</w:t>
            </w:r>
            <w:proofErr w:type="spellEnd"/>
          </w:p>
        </w:tc>
        <w:tc>
          <w:tcPr>
            <w:tcW w:w="144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Angkor Chum</w:t>
            </w:r>
          </w:p>
        </w:tc>
        <w:tc>
          <w:tcPr>
            <w:tcW w:w="90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FFC00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Lack of patients</w:t>
            </w:r>
          </w:p>
        </w:tc>
      </w:tr>
      <w:tr w:rsidR="00D4229B" w:rsidRPr="00355BE5" w:rsidTr="00D4229B">
        <w:trPr>
          <w:trHeight w:val="12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Sihanoukville</w:t>
            </w:r>
            <w:proofErr w:type="spellEnd"/>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Preah</w:t>
            </w:r>
            <w:proofErr w:type="spellEnd"/>
            <w:r w:rsidRPr="009F62A2">
              <w:rPr>
                <w:rFonts w:asciiTheme="minorBidi" w:eastAsia="Times New Roman" w:hAnsiTheme="minorBidi"/>
                <w:color w:val="000000"/>
                <w:sz w:val="20"/>
                <w:szCs w:val="20"/>
              </w:rPr>
              <w:t xml:space="preserve"> Sihanouk</w:t>
            </w:r>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Preah</w:t>
            </w:r>
            <w:proofErr w:type="spellEnd"/>
            <w:r w:rsidRPr="009F62A2">
              <w:rPr>
                <w:rFonts w:asciiTheme="minorBidi" w:eastAsia="Times New Roman" w:hAnsiTheme="minorBidi"/>
                <w:color w:val="000000"/>
                <w:sz w:val="20"/>
                <w:szCs w:val="20"/>
              </w:rPr>
              <w:t xml:space="preserve"> Sihanouk Prov. </w:t>
            </w:r>
            <w:proofErr w:type="spellStart"/>
            <w:r w:rsidRPr="009F62A2">
              <w:rPr>
                <w:rFonts w:asciiTheme="minorBidi" w:eastAsia="Times New Roman" w:hAnsiTheme="minorBidi"/>
                <w:color w:val="000000"/>
                <w:sz w:val="20"/>
                <w:szCs w:val="20"/>
              </w:rPr>
              <w:t>Hosp</w:t>
            </w:r>
            <w:proofErr w:type="spellEnd"/>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CPA3</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12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lastRenderedPageBreak/>
              <w:t xml:space="preserve">S. </w:t>
            </w:r>
            <w:proofErr w:type="spellStart"/>
            <w:r w:rsidRPr="009F62A2">
              <w:rPr>
                <w:rFonts w:asciiTheme="minorBidi" w:eastAsia="Times New Roman" w:hAnsiTheme="minorBidi"/>
                <w:color w:val="000000"/>
                <w:sz w:val="20"/>
                <w:szCs w:val="20"/>
              </w:rPr>
              <w:t>Treng</w:t>
            </w:r>
            <w:proofErr w:type="spellEnd"/>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Steung</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Treng</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Stung </w:t>
            </w:r>
            <w:proofErr w:type="spellStart"/>
            <w:r w:rsidRPr="009F62A2">
              <w:rPr>
                <w:rFonts w:asciiTheme="minorBidi" w:eastAsia="Times New Roman" w:hAnsiTheme="minorBidi"/>
                <w:color w:val="000000"/>
                <w:sz w:val="20"/>
                <w:szCs w:val="20"/>
              </w:rPr>
              <w:t>Treng</w:t>
            </w:r>
            <w:proofErr w:type="spellEnd"/>
            <w:r w:rsidRPr="009F62A2">
              <w:rPr>
                <w:rFonts w:asciiTheme="minorBidi" w:eastAsia="Times New Roman" w:hAnsiTheme="minorBidi"/>
                <w:color w:val="000000"/>
                <w:sz w:val="20"/>
                <w:szCs w:val="20"/>
              </w:rPr>
              <w:t xml:space="preserve"> Prov. Hosp.</w:t>
            </w:r>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CPA3</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315"/>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S. </w:t>
            </w:r>
            <w:proofErr w:type="spellStart"/>
            <w:r w:rsidRPr="009F62A2">
              <w:rPr>
                <w:rFonts w:asciiTheme="minorBidi" w:eastAsia="Times New Roman" w:hAnsiTheme="minorBidi"/>
                <w:color w:val="000000"/>
                <w:sz w:val="20"/>
                <w:szCs w:val="20"/>
              </w:rPr>
              <w:t>Rieng</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Chi </w:t>
            </w:r>
            <w:proofErr w:type="spellStart"/>
            <w:r w:rsidRPr="009F62A2">
              <w:rPr>
                <w:rFonts w:asciiTheme="minorBidi" w:eastAsia="Times New Roman" w:hAnsiTheme="minorBidi"/>
                <w:color w:val="000000"/>
                <w:sz w:val="20"/>
                <w:szCs w:val="20"/>
              </w:rPr>
              <w:t>Phu</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Chi </w:t>
            </w:r>
            <w:proofErr w:type="spellStart"/>
            <w:r w:rsidRPr="009F62A2">
              <w:rPr>
                <w:rFonts w:asciiTheme="minorBidi" w:eastAsia="Times New Roman" w:hAnsiTheme="minorBidi"/>
                <w:color w:val="000000"/>
                <w:sz w:val="20"/>
                <w:szCs w:val="20"/>
              </w:rPr>
              <w:t>Phu</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S. </w:t>
            </w:r>
            <w:proofErr w:type="spellStart"/>
            <w:r w:rsidRPr="009F62A2">
              <w:rPr>
                <w:rFonts w:asciiTheme="minorBidi" w:eastAsia="Times New Roman" w:hAnsiTheme="minorBidi"/>
                <w:color w:val="000000"/>
                <w:sz w:val="20"/>
                <w:szCs w:val="20"/>
              </w:rPr>
              <w:t>Rieng</w:t>
            </w:r>
            <w:proofErr w:type="spellEnd"/>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Romeas</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Hek</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Romeas</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Hek</w:t>
            </w:r>
            <w:proofErr w:type="spellEnd"/>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CPA2</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AE0961" w:rsidP="009F62A2">
            <w:pPr>
              <w:spacing w:after="0" w:line="240" w:lineRule="auto"/>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No HEF</w:t>
            </w:r>
          </w:p>
        </w:tc>
      </w:tr>
      <w:tr w:rsidR="00D4229B" w:rsidRPr="00355BE5" w:rsidTr="00D4229B">
        <w:trPr>
          <w:trHeight w:val="12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S. </w:t>
            </w:r>
            <w:proofErr w:type="spellStart"/>
            <w:r w:rsidRPr="009F62A2">
              <w:rPr>
                <w:rFonts w:asciiTheme="minorBidi" w:eastAsia="Times New Roman" w:hAnsiTheme="minorBidi"/>
                <w:color w:val="000000"/>
                <w:sz w:val="20"/>
                <w:szCs w:val="20"/>
              </w:rPr>
              <w:t>Rieng</w:t>
            </w:r>
            <w:proofErr w:type="spellEnd"/>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Svay</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Rieng</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Svay</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Rieng</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Prov</w:t>
            </w:r>
            <w:proofErr w:type="spellEnd"/>
            <w:r w:rsidRPr="009F62A2">
              <w:rPr>
                <w:rFonts w:asciiTheme="minorBidi" w:eastAsia="Times New Roman" w:hAnsiTheme="minorBidi"/>
                <w:color w:val="000000"/>
                <w:sz w:val="20"/>
                <w:szCs w:val="20"/>
              </w:rPr>
              <w:t xml:space="preserve"> Hosp.</w:t>
            </w:r>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CPA3</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315"/>
        </w:trPr>
        <w:tc>
          <w:tcPr>
            <w:tcW w:w="181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Takeo</w:t>
            </w:r>
          </w:p>
        </w:tc>
        <w:tc>
          <w:tcPr>
            <w:tcW w:w="17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Ang</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Rokar</w:t>
            </w:r>
            <w:proofErr w:type="spellEnd"/>
          </w:p>
        </w:tc>
        <w:tc>
          <w:tcPr>
            <w:tcW w:w="144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AngRoka</w:t>
            </w:r>
            <w:proofErr w:type="spellEnd"/>
          </w:p>
        </w:tc>
        <w:tc>
          <w:tcPr>
            <w:tcW w:w="90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FFC00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Shortage of staff</w:t>
            </w:r>
          </w:p>
        </w:tc>
      </w:tr>
      <w:tr w:rsidR="00D4229B" w:rsidRPr="00355BE5" w:rsidTr="00D4229B">
        <w:trPr>
          <w:trHeight w:val="315"/>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Takeo</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Bati</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Bati</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Takeo</w:t>
            </w:r>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Daun</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Keo</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Takeo </w:t>
            </w:r>
            <w:proofErr w:type="spellStart"/>
            <w:r w:rsidRPr="009F62A2">
              <w:rPr>
                <w:rFonts w:asciiTheme="minorBidi" w:eastAsia="Times New Roman" w:hAnsiTheme="minorBidi"/>
                <w:color w:val="000000"/>
                <w:sz w:val="20"/>
                <w:szCs w:val="20"/>
              </w:rPr>
              <w:t>Prov</w:t>
            </w:r>
            <w:proofErr w:type="spellEnd"/>
            <w:r w:rsidRPr="009F62A2">
              <w:rPr>
                <w:rFonts w:asciiTheme="minorBidi" w:eastAsia="Times New Roman" w:hAnsiTheme="minorBidi"/>
                <w:color w:val="000000"/>
                <w:sz w:val="20"/>
                <w:szCs w:val="20"/>
              </w:rPr>
              <w:t xml:space="preserve"> Hospital</w:t>
            </w:r>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CPA3</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315"/>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Takeo</w:t>
            </w:r>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Kirivong</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Kirivong</w:t>
            </w:r>
            <w:proofErr w:type="spellEnd"/>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CPA2</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Start in q4</w:t>
            </w: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Takeo</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Prey </w:t>
            </w:r>
            <w:proofErr w:type="spellStart"/>
            <w:r w:rsidRPr="009F62A2">
              <w:rPr>
                <w:rFonts w:asciiTheme="minorBidi" w:eastAsia="Times New Roman" w:hAnsiTheme="minorBidi"/>
                <w:color w:val="000000"/>
                <w:sz w:val="20"/>
                <w:szCs w:val="20"/>
              </w:rPr>
              <w:t>Kabass</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Prey </w:t>
            </w:r>
            <w:proofErr w:type="spellStart"/>
            <w:r w:rsidRPr="009F62A2">
              <w:rPr>
                <w:rFonts w:asciiTheme="minorBidi" w:eastAsia="Times New Roman" w:hAnsiTheme="minorBidi"/>
                <w:color w:val="000000"/>
                <w:sz w:val="20"/>
                <w:szCs w:val="20"/>
              </w:rPr>
              <w:t>Kabass</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O. </w:t>
            </w:r>
            <w:proofErr w:type="spellStart"/>
            <w:r w:rsidRPr="009F62A2">
              <w:rPr>
                <w:rFonts w:asciiTheme="minorBidi" w:eastAsia="Times New Roman" w:hAnsiTheme="minorBidi"/>
                <w:color w:val="000000"/>
                <w:sz w:val="20"/>
                <w:szCs w:val="20"/>
              </w:rPr>
              <w:t>Meanchey</w:t>
            </w:r>
            <w:proofErr w:type="spellEnd"/>
          </w:p>
        </w:tc>
        <w:tc>
          <w:tcPr>
            <w:tcW w:w="17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Samraong</w:t>
            </w:r>
            <w:proofErr w:type="spellEnd"/>
          </w:p>
        </w:tc>
        <w:tc>
          <w:tcPr>
            <w:tcW w:w="144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Oddor</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Meanchey</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Prov</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Hosp</w:t>
            </w:r>
            <w:proofErr w:type="spellEnd"/>
          </w:p>
        </w:tc>
        <w:tc>
          <w:tcPr>
            <w:tcW w:w="90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CPA2</w:t>
            </w:r>
          </w:p>
        </w:tc>
        <w:tc>
          <w:tcPr>
            <w:tcW w:w="919"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433"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1</w:t>
            </w:r>
          </w:p>
        </w:tc>
        <w:tc>
          <w:tcPr>
            <w:tcW w:w="1248"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00B05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00B05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 xml:space="preserve">O. </w:t>
            </w:r>
            <w:proofErr w:type="spellStart"/>
            <w:r w:rsidRPr="009F62A2">
              <w:rPr>
                <w:rFonts w:asciiTheme="minorBidi" w:eastAsia="Times New Roman" w:hAnsiTheme="minorBidi"/>
                <w:color w:val="000000"/>
                <w:sz w:val="20"/>
                <w:szCs w:val="20"/>
              </w:rPr>
              <w:t>Meanchey</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Samraong</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Anlong</w:t>
            </w:r>
            <w:proofErr w:type="spellEnd"/>
            <w:r w:rsidRPr="009F62A2">
              <w:rPr>
                <w:rFonts w:asciiTheme="minorBidi" w:eastAsia="Times New Roman" w:hAnsiTheme="minorBidi"/>
                <w:color w:val="000000"/>
                <w:sz w:val="20"/>
                <w:szCs w:val="20"/>
              </w:rPr>
              <w:t xml:space="preserve"> </w:t>
            </w:r>
            <w:proofErr w:type="spellStart"/>
            <w:r w:rsidRPr="009F62A2">
              <w:rPr>
                <w:rFonts w:asciiTheme="minorBidi" w:eastAsia="Times New Roman" w:hAnsiTheme="minorBidi"/>
                <w:color w:val="000000"/>
                <w:sz w:val="20"/>
                <w:szCs w:val="20"/>
              </w:rPr>
              <w:t>Vaeng</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r>
      <w:tr w:rsidR="00D4229B" w:rsidRPr="00355BE5" w:rsidTr="00D4229B">
        <w:trPr>
          <w:trHeight w:val="600"/>
        </w:trPr>
        <w:tc>
          <w:tcPr>
            <w:tcW w:w="181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lastRenderedPageBreak/>
              <w:t>Kep</w:t>
            </w:r>
            <w:proofErr w:type="spellEnd"/>
          </w:p>
        </w:tc>
        <w:tc>
          <w:tcPr>
            <w:tcW w:w="17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Kep</w:t>
            </w:r>
            <w:proofErr w:type="spellEnd"/>
          </w:p>
        </w:tc>
        <w:tc>
          <w:tcPr>
            <w:tcW w:w="144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Kep</w:t>
            </w:r>
            <w:proofErr w:type="spellEnd"/>
            <w:r w:rsidRPr="009F62A2">
              <w:rPr>
                <w:rFonts w:asciiTheme="minorBidi" w:eastAsia="Times New Roman" w:hAnsiTheme="minorBidi"/>
                <w:color w:val="000000"/>
                <w:sz w:val="20"/>
                <w:szCs w:val="20"/>
              </w:rPr>
              <w:t xml:space="preserve"> Prov. Hosp.</w:t>
            </w:r>
          </w:p>
        </w:tc>
        <w:tc>
          <w:tcPr>
            <w:tcW w:w="90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CPA1</w:t>
            </w:r>
          </w:p>
        </w:tc>
        <w:tc>
          <w:tcPr>
            <w:tcW w:w="919"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FFC000"/>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1</w:t>
            </w:r>
          </w:p>
        </w:tc>
        <w:tc>
          <w:tcPr>
            <w:tcW w:w="2340" w:type="dxa"/>
            <w:tcBorders>
              <w:top w:val="single" w:sz="4" w:space="0" w:color="auto"/>
              <w:left w:val="nil"/>
              <w:bottom w:val="single" w:sz="4" w:space="0" w:color="auto"/>
              <w:right w:val="single" w:sz="4" w:space="0" w:color="auto"/>
            </w:tcBorders>
            <w:shd w:val="clear" w:color="auto" w:fill="FFC000"/>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9F62A2">
              <w:rPr>
                <w:rFonts w:asciiTheme="minorBidi" w:eastAsia="Times New Roman" w:hAnsiTheme="minorBidi"/>
                <w:color w:val="000000"/>
                <w:sz w:val="20"/>
                <w:szCs w:val="20"/>
              </w:rPr>
              <w:t>Shortage of staff</w:t>
            </w:r>
          </w:p>
        </w:tc>
      </w:tr>
      <w:tr w:rsidR="00D4229B" w:rsidRPr="00355BE5" w:rsidTr="00D4229B">
        <w:trPr>
          <w:trHeight w:val="9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Pailin</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Pailin</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Pailin</w:t>
            </w:r>
            <w:proofErr w:type="spellEnd"/>
            <w:r w:rsidRPr="009F62A2">
              <w:rPr>
                <w:rFonts w:asciiTheme="minorBidi" w:eastAsia="Times New Roman" w:hAnsiTheme="minorBidi"/>
                <w:color w:val="000000"/>
                <w:sz w:val="20"/>
                <w:szCs w:val="20"/>
              </w:rPr>
              <w:t xml:space="preserve"> Prov. Hosp.</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r w:rsidRPr="002429A0">
              <w:rPr>
                <w:rFonts w:asciiTheme="minorBidi" w:eastAsia="Times New Roman" w:hAnsiTheme="minorBidi"/>
                <w:color w:val="000000"/>
                <w:sz w:val="20"/>
                <w:szCs w:val="20"/>
                <w:highlight w:val="yellow"/>
              </w:rPr>
              <w:t>CPA2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spacing w:after="0" w:line="240" w:lineRule="auto"/>
              <w:jc w:val="center"/>
              <w:rPr>
                <w:rFonts w:asciiTheme="minorBidi" w:eastAsia="Times New Roman" w:hAnsiTheme="minorBid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4229B" w:rsidRPr="009F62A2" w:rsidRDefault="00D4229B" w:rsidP="009F62A2">
            <w:pPr>
              <w:jc w:val="center"/>
              <w:rPr>
                <w:rFonts w:asciiTheme="minorBidi" w:hAnsiTheme="minorBidi"/>
                <w:color w:val="000000"/>
                <w:sz w:val="20"/>
                <w:szCs w:val="20"/>
              </w:rPr>
            </w:pPr>
            <w:r w:rsidRPr="009F62A2">
              <w:rPr>
                <w:rFonts w:asciiTheme="minorBidi" w:hAnsiTheme="minorBidi"/>
                <w:color w:val="000000"/>
                <w:sz w:val="20"/>
                <w:szCs w:val="20"/>
              </w:rPr>
              <w:t>0</w:t>
            </w:r>
          </w:p>
        </w:tc>
        <w:tc>
          <w:tcPr>
            <w:tcW w:w="2340" w:type="dxa"/>
            <w:tcBorders>
              <w:top w:val="single" w:sz="4" w:space="0" w:color="auto"/>
              <w:left w:val="nil"/>
              <w:bottom w:val="single" w:sz="4" w:space="0" w:color="auto"/>
              <w:right w:val="single" w:sz="4" w:space="0" w:color="auto"/>
            </w:tcBorders>
            <w:shd w:val="clear" w:color="auto" w:fill="auto"/>
            <w:vAlign w:val="center"/>
          </w:tcPr>
          <w:p w:rsidR="00D4229B" w:rsidRPr="009F62A2" w:rsidRDefault="00D4229B" w:rsidP="009F62A2">
            <w:pPr>
              <w:spacing w:after="0" w:line="240" w:lineRule="auto"/>
              <w:jc w:val="center"/>
              <w:rPr>
                <w:rFonts w:asciiTheme="minorBidi" w:eastAsia="Times New Roman" w:hAnsiTheme="minorBidi"/>
                <w:color w:val="000000"/>
                <w:sz w:val="20"/>
                <w:szCs w:val="20"/>
              </w:rPr>
            </w:pPr>
            <w:proofErr w:type="spellStart"/>
            <w:r w:rsidRPr="009F62A2">
              <w:rPr>
                <w:rFonts w:asciiTheme="minorBidi" w:eastAsia="Times New Roman" w:hAnsiTheme="minorBidi"/>
                <w:color w:val="000000"/>
                <w:sz w:val="20"/>
                <w:szCs w:val="20"/>
              </w:rPr>
              <w:t>pac</w:t>
            </w:r>
            <w:proofErr w:type="spellEnd"/>
          </w:p>
        </w:tc>
      </w:tr>
    </w:tbl>
    <w:p w:rsidR="0001470A" w:rsidRDefault="0001470A" w:rsidP="0001470A">
      <w:pPr>
        <w:pStyle w:val="Heading2"/>
      </w:pPr>
    </w:p>
    <w:p w:rsidR="0001470A" w:rsidRPr="00F013BD" w:rsidRDefault="00D4229B" w:rsidP="00F013BD">
      <w:pPr>
        <w:rPr>
          <w:rFonts w:asciiTheme="majorHAnsi" w:eastAsiaTheme="majorEastAsia" w:hAnsiTheme="majorHAnsi" w:cstheme="majorBidi"/>
          <w:b/>
          <w:bCs/>
          <w:color w:val="4F81BD" w:themeColor="accent1"/>
          <w:sz w:val="26"/>
          <w:szCs w:val="42"/>
        </w:rPr>
      </w:pPr>
      <w:r>
        <w:br w:type="page"/>
      </w:r>
    </w:p>
    <w:p w:rsidR="00F013BD" w:rsidRDefault="00F013BD" w:rsidP="0001470A">
      <w:pPr>
        <w:pStyle w:val="Heading2"/>
        <w:sectPr w:rsidR="00F013BD" w:rsidSect="00355BE5">
          <w:pgSz w:w="15840" w:h="12240" w:orient="landscape"/>
          <w:pgMar w:top="1440" w:right="1440" w:bottom="1440" w:left="1440" w:header="720" w:footer="720" w:gutter="0"/>
          <w:cols w:space="720"/>
          <w:docGrid w:linePitch="360"/>
        </w:sectPr>
      </w:pPr>
    </w:p>
    <w:p w:rsidR="0001470A" w:rsidRDefault="0001470A" w:rsidP="0001470A">
      <w:pPr>
        <w:pStyle w:val="Heading2"/>
      </w:pPr>
      <w:bookmarkStart w:id="6" w:name="_Toc339882802"/>
      <w:r>
        <w:lastRenderedPageBreak/>
        <w:t>Supply - Equipment Needs</w:t>
      </w:r>
      <w:bookmarkEnd w:id="6"/>
    </w:p>
    <w:p w:rsidR="0001470A" w:rsidRDefault="0001470A" w:rsidP="0001470A"/>
    <w:p w:rsidR="00F013BD" w:rsidRDefault="00F013BD" w:rsidP="0001470A">
      <w:r>
        <w:t>Therapeutic food, micronutrients, antibiotics, and specialized oral rehydration solution are referenced in the background. In addition to these supplies, the Guidelines for the Management of Acute Malnutrition include all of the necessary print materials, supplies for cooking demonstrations, and supplies for measuring (see table below). The importance of playgrounds is referred to in the guidelines, but equipment is not included</w:t>
      </w:r>
      <w:r w:rsidR="00055424">
        <w:t xml:space="preserve"> in the guidelines</w:t>
      </w:r>
      <w:r>
        <w:t>.</w:t>
      </w:r>
      <w:r w:rsidR="00657413">
        <w:t xml:space="preserve"> Playgrounds</w:t>
      </w:r>
      <w:r w:rsidR="00055424">
        <w:t xml:space="preserve"> and building renovations</w:t>
      </w:r>
      <w:r w:rsidR="00657413">
        <w:t xml:space="preserve"> were included as a part of start-up supplies</w:t>
      </w:r>
      <w:r w:rsidR="00055424">
        <w:t xml:space="preserve"> for hospitals that started implementation early. </w:t>
      </w:r>
      <w:r w:rsidR="00055424" w:rsidRPr="00055424">
        <w:rPr>
          <w:b/>
          <w:bCs/>
        </w:rPr>
        <w:t xml:space="preserve">As the </w:t>
      </w:r>
      <w:proofErr w:type="spellStart"/>
      <w:r w:rsidR="00055424" w:rsidRPr="00055424">
        <w:rPr>
          <w:b/>
          <w:bCs/>
        </w:rPr>
        <w:t>programme</w:t>
      </w:r>
      <w:proofErr w:type="spellEnd"/>
      <w:r w:rsidR="00055424" w:rsidRPr="00055424">
        <w:rPr>
          <w:b/>
          <w:bCs/>
        </w:rPr>
        <w:t xml:space="preserve"> expands and the recurring operational costs grow, it is more difficult for UNICEF to finance renovations.</w:t>
      </w:r>
      <w:r>
        <w:t xml:space="preserve">  </w:t>
      </w:r>
    </w:p>
    <w:tbl>
      <w:tblPr>
        <w:tblW w:w="8908" w:type="dxa"/>
        <w:tblBorders>
          <w:top w:val="single" w:sz="8" w:space="0" w:color="4BACC6"/>
          <w:left w:val="single" w:sz="8" w:space="0" w:color="4BACC6"/>
          <w:bottom w:val="single" w:sz="8" w:space="0" w:color="4BACC6"/>
          <w:right w:val="single" w:sz="8" w:space="0" w:color="4BACC6"/>
          <w:insideH w:val="single" w:sz="8" w:space="0" w:color="4BACC6"/>
        </w:tblBorders>
        <w:tblLook w:val="00A0" w:firstRow="1" w:lastRow="0" w:firstColumn="1" w:lastColumn="0" w:noHBand="0" w:noVBand="0"/>
      </w:tblPr>
      <w:tblGrid>
        <w:gridCol w:w="4292"/>
        <w:gridCol w:w="4616"/>
      </w:tblGrid>
      <w:tr w:rsidR="00F013BD" w:rsidRPr="00BA5BAB" w:rsidTr="00266F71">
        <w:tc>
          <w:tcPr>
            <w:tcW w:w="4292" w:type="dxa"/>
            <w:tcBorders>
              <w:top w:val="single" w:sz="8" w:space="0" w:color="000000"/>
              <w:left w:val="single" w:sz="8" w:space="0" w:color="000000"/>
              <w:bottom w:val="single" w:sz="6" w:space="0" w:color="000000"/>
              <w:right w:val="single" w:sz="6" w:space="0" w:color="000000"/>
            </w:tcBorders>
            <w:shd w:val="clear" w:color="auto" w:fill="B8CCE4"/>
          </w:tcPr>
          <w:p w:rsidR="00F013BD" w:rsidRPr="00BA5BAB" w:rsidRDefault="00F013BD" w:rsidP="00266F71">
            <w:pPr>
              <w:spacing w:before="60" w:after="60" w:line="240" w:lineRule="auto"/>
              <w:jc w:val="both"/>
              <w:rPr>
                <w:rFonts w:ascii="Cambria" w:hAnsi="Cambria" w:cs="Times New Roman"/>
                <w:b/>
                <w:bCs/>
                <w:sz w:val="24"/>
                <w:szCs w:val="24"/>
              </w:rPr>
            </w:pPr>
            <w:r w:rsidRPr="00BA5BAB">
              <w:rPr>
                <w:rFonts w:ascii="Cambria" w:hAnsi="Cambria" w:cs="Times New Roman"/>
                <w:b/>
                <w:bCs/>
                <w:sz w:val="24"/>
                <w:szCs w:val="24"/>
              </w:rPr>
              <w:t>Equipment and Supplies</w:t>
            </w:r>
          </w:p>
        </w:tc>
        <w:tc>
          <w:tcPr>
            <w:tcW w:w="4616" w:type="dxa"/>
            <w:tcBorders>
              <w:top w:val="single" w:sz="8" w:space="0" w:color="000000"/>
              <w:left w:val="single" w:sz="6" w:space="0" w:color="000000"/>
              <w:bottom w:val="single" w:sz="6" w:space="0" w:color="000000"/>
              <w:right w:val="single" w:sz="8" w:space="0" w:color="000000"/>
            </w:tcBorders>
            <w:shd w:val="clear" w:color="auto" w:fill="B8CCE4"/>
          </w:tcPr>
          <w:p w:rsidR="00F013BD" w:rsidRPr="00BA5BAB" w:rsidRDefault="00F013BD" w:rsidP="00266F71">
            <w:pPr>
              <w:spacing w:before="60" w:after="60" w:line="240" w:lineRule="auto"/>
              <w:jc w:val="both"/>
              <w:rPr>
                <w:rFonts w:ascii="Cambria" w:hAnsi="Cambria" w:cs="Times New Roman"/>
                <w:b/>
                <w:bCs/>
                <w:sz w:val="24"/>
                <w:szCs w:val="24"/>
              </w:rPr>
            </w:pPr>
            <w:r w:rsidRPr="00BA5BAB">
              <w:rPr>
                <w:rFonts w:ascii="Cambria" w:hAnsi="Cambria" w:cs="Times New Roman"/>
                <w:b/>
                <w:bCs/>
                <w:sz w:val="24"/>
                <w:szCs w:val="24"/>
              </w:rPr>
              <w:t>Reference Sheets and Protocols</w:t>
            </w:r>
          </w:p>
        </w:tc>
      </w:tr>
      <w:tr w:rsidR="00F013BD" w:rsidRPr="00BA5BAB" w:rsidTr="00266F71">
        <w:tc>
          <w:tcPr>
            <w:tcW w:w="4292" w:type="dxa"/>
            <w:tcBorders>
              <w:top w:val="single" w:sz="6" w:space="0" w:color="000000"/>
              <w:left w:val="single" w:sz="8" w:space="0" w:color="000000"/>
              <w:bottom w:val="single" w:sz="8" w:space="0" w:color="000000"/>
              <w:right w:val="single" w:sz="6" w:space="0" w:color="000000"/>
            </w:tcBorders>
          </w:tcPr>
          <w:p w:rsidR="00F013BD" w:rsidRPr="00BA5BAB" w:rsidRDefault="00F013BD" w:rsidP="00266F71">
            <w:pPr>
              <w:spacing w:before="60" w:after="60" w:line="240" w:lineRule="auto"/>
              <w:jc w:val="both"/>
              <w:rPr>
                <w:rFonts w:ascii="Cambria" w:hAnsi="Cambria" w:cs="Times New Roman"/>
                <w:sz w:val="24"/>
                <w:szCs w:val="24"/>
              </w:rPr>
            </w:pPr>
            <w:r w:rsidRPr="00BA5BAB">
              <w:rPr>
                <w:rFonts w:ascii="Cambria" w:hAnsi="Cambria" w:cs="Times New Roman"/>
                <w:sz w:val="24"/>
                <w:szCs w:val="24"/>
              </w:rPr>
              <w:t xml:space="preserve">See WHO training modules – Course Director Guide for all supplies needed to inpatient treatment of severe malnutrition but main items include: </w:t>
            </w:r>
          </w:p>
          <w:p w:rsidR="00F013BD" w:rsidRPr="00BA5BAB" w:rsidRDefault="00F013BD" w:rsidP="00F013BD">
            <w:pPr>
              <w:numPr>
                <w:ilvl w:val="0"/>
                <w:numId w:val="1"/>
              </w:numPr>
              <w:spacing w:before="60" w:after="60" w:line="240" w:lineRule="auto"/>
              <w:jc w:val="both"/>
              <w:rPr>
                <w:rFonts w:ascii="Cambria" w:hAnsi="Cambria" w:cs="Times New Roman"/>
                <w:sz w:val="24"/>
                <w:szCs w:val="24"/>
              </w:rPr>
            </w:pPr>
            <w:r w:rsidRPr="00BA5BAB">
              <w:rPr>
                <w:rFonts w:ascii="Cambria" w:hAnsi="Cambria" w:cs="Times New Roman"/>
                <w:sz w:val="24"/>
                <w:szCs w:val="24"/>
              </w:rPr>
              <w:t>F-75</w:t>
            </w:r>
          </w:p>
          <w:p w:rsidR="00F013BD" w:rsidRPr="00BA5BAB" w:rsidRDefault="00F013BD" w:rsidP="00F013BD">
            <w:pPr>
              <w:numPr>
                <w:ilvl w:val="0"/>
                <w:numId w:val="1"/>
              </w:numPr>
              <w:spacing w:before="60" w:after="60" w:line="240" w:lineRule="auto"/>
              <w:jc w:val="both"/>
              <w:rPr>
                <w:rFonts w:ascii="Cambria" w:hAnsi="Cambria" w:cs="Times New Roman"/>
                <w:sz w:val="24"/>
                <w:szCs w:val="24"/>
              </w:rPr>
            </w:pPr>
            <w:r w:rsidRPr="00BA5BAB">
              <w:rPr>
                <w:rFonts w:ascii="Cambria" w:hAnsi="Cambria" w:cs="Times New Roman"/>
                <w:sz w:val="24"/>
                <w:szCs w:val="24"/>
              </w:rPr>
              <w:t>F-100</w:t>
            </w:r>
          </w:p>
          <w:p w:rsidR="00F013BD" w:rsidRPr="00BA5BAB" w:rsidRDefault="00F013BD" w:rsidP="00F013BD">
            <w:pPr>
              <w:numPr>
                <w:ilvl w:val="0"/>
                <w:numId w:val="1"/>
              </w:numPr>
              <w:spacing w:before="60" w:after="60" w:line="240" w:lineRule="auto"/>
              <w:jc w:val="both"/>
              <w:rPr>
                <w:rFonts w:ascii="Cambria" w:hAnsi="Cambria" w:cs="Times New Roman"/>
                <w:sz w:val="24"/>
                <w:szCs w:val="24"/>
              </w:rPr>
            </w:pPr>
            <w:r w:rsidRPr="00BA5BAB">
              <w:rPr>
                <w:rFonts w:ascii="Cambria" w:hAnsi="Cambria" w:cs="Times New Roman"/>
                <w:sz w:val="24"/>
                <w:szCs w:val="24"/>
              </w:rPr>
              <w:t>BP-100</w:t>
            </w:r>
          </w:p>
          <w:p w:rsidR="00F013BD" w:rsidRPr="00BA5BAB" w:rsidRDefault="00F013BD" w:rsidP="00F013BD">
            <w:pPr>
              <w:numPr>
                <w:ilvl w:val="0"/>
                <w:numId w:val="1"/>
              </w:numPr>
              <w:spacing w:before="60" w:after="60" w:line="240" w:lineRule="auto"/>
              <w:jc w:val="both"/>
              <w:rPr>
                <w:rFonts w:ascii="Cambria" w:hAnsi="Cambria" w:cs="Times New Roman"/>
                <w:sz w:val="24"/>
                <w:szCs w:val="24"/>
              </w:rPr>
            </w:pPr>
            <w:proofErr w:type="spellStart"/>
            <w:r w:rsidRPr="00BA5BAB">
              <w:rPr>
                <w:rFonts w:ascii="Cambria" w:hAnsi="Cambria" w:cs="Times New Roman"/>
                <w:sz w:val="24"/>
                <w:szCs w:val="24"/>
              </w:rPr>
              <w:t>ReSoMal</w:t>
            </w:r>
            <w:proofErr w:type="spellEnd"/>
          </w:p>
          <w:p w:rsidR="00F013BD" w:rsidRPr="00BA5BAB" w:rsidRDefault="00F013BD" w:rsidP="00F013BD">
            <w:pPr>
              <w:numPr>
                <w:ilvl w:val="0"/>
                <w:numId w:val="1"/>
              </w:numPr>
              <w:spacing w:before="60" w:after="60" w:line="240" w:lineRule="auto"/>
              <w:jc w:val="both"/>
              <w:rPr>
                <w:rFonts w:ascii="Cambria" w:hAnsi="Cambria" w:cs="Times New Roman"/>
                <w:sz w:val="24"/>
                <w:szCs w:val="24"/>
              </w:rPr>
            </w:pPr>
            <w:r w:rsidRPr="00BA5BAB">
              <w:rPr>
                <w:rFonts w:ascii="Cambria" w:hAnsi="Cambria" w:cs="Times New Roman"/>
                <w:sz w:val="24"/>
                <w:szCs w:val="24"/>
              </w:rPr>
              <w:t>Weighing scales (UNISCALE)</w:t>
            </w:r>
          </w:p>
          <w:p w:rsidR="00F013BD" w:rsidRPr="00BA5BAB" w:rsidRDefault="00F013BD" w:rsidP="00F013BD">
            <w:pPr>
              <w:numPr>
                <w:ilvl w:val="0"/>
                <w:numId w:val="1"/>
              </w:numPr>
              <w:spacing w:before="60" w:after="60" w:line="240" w:lineRule="auto"/>
              <w:jc w:val="both"/>
              <w:rPr>
                <w:rFonts w:ascii="Cambria" w:hAnsi="Cambria" w:cs="Times New Roman"/>
                <w:sz w:val="24"/>
                <w:szCs w:val="24"/>
              </w:rPr>
            </w:pPr>
            <w:r w:rsidRPr="00BA5BAB">
              <w:rPr>
                <w:rFonts w:ascii="Cambria" w:hAnsi="Cambria" w:cs="Times New Roman"/>
                <w:sz w:val="24"/>
                <w:szCs w:val="24"/>
              </w:rPr>
              <w:t>Glucometer and strips</w:t>
            </w:r>
          </w:p>
          <w:p w:rsidR="00F013BD" w:rsidRPr="00BA5BAB" w:rsidRDefault="00F013BD" w:rsidP="00F013BD">
            <w:pPr>
              <w:numPr>
                <w:ilvl w:val="0"/>
                <w:numId w:val="1"/>
              </w:numPr>
              <w:spacing w:before="60" w:after="60" w:line="240" w:lineRule="auto"/>
              <w:jc w:val="both"/>
              <w:rPr>
                <w:rFonts w:ascii="Cambria" w:hAnsi="Cambria" w:cs="Times New Roman"/>
                <w:sz w:val="24"/>
                <w:szCs w:val="24"/>
              </w:rPr>
            </w:pPr>
            <w:r w:rsidRPr="00BA5BAB">
              <w:rPr>
                <w:rFonts w:ascii="Cambria" w:hAnsi="Cambria" w:cs="Times New Roman"/>
                <w:sz w:val="24"/>
                <w:szCs w:val="24"/>
              </w:rPr>
              <w:t>Height board/</w:t>
            </w:r>
            <w:proofErr w:type="spellStart"/>
            <w:r w:rsidRPr="00BA5BAB">
              <w:rPr>
                <w:rFonts w:ascii="Cambria" w:hAnsi="Cambria" w:cs="Times New Roman"/>
                <w:sz w:val="24"/>
                <w:szCs w:val="24"/>
              </w:rPr>
              <w:t>Microtoise</w:t>
            </w:r>
            <w:proofErr w:type="spellEnd"/>
          </w:p>
          <w:p w:rsidR="00F013BD" w:rsidRPr="00BA5BAB" w:rsidRDefault="00F013BD" w:rsidP="00F013BD">
            <w:pPr>
              <w:numPr>
                <w:ilvl w:val="0"/>
                <w:numId w:val="1"/>
              </w:numPr>
              <w:spacing w:before="60" w:after="60" w:line="240" w:lineRule="auto"/>
              <w:jc w:val="both"/>
              <w:rPr>
                <w:rFonts w:ascii="Cambria" w:hAnsi="Cambria" w:cs="Times New Roman"/>
                <w:sz w:val="24"/>
                <w:szCs w:val="24"/>
              </w:rPr>
            </w:pPr>
            <w:r w:rsidRPr="00BA5BAB">
              <w:rPr>
                <w:rFonts w:ascii="Cambria" w:hAnsi="Cambria" w:cs="Times New Roman"/>
                <w:sz w:val="24"/>
                <w:szCs w:val="24"/>
              </w:rPr>
              <w:t>MUAC tapes</w:t>
            </w:r>
          </w:p>
          <w:p w:rsidR="00F013BD" w:rsidRPr="00BA5BAB" w:rsidRDefault="00F013BD" w:rsidP="00F013BD">
            <w:pPr>
              <w:numPr>
                <w:ilvl w:val="0"/>
                <w:numId w:val="1"/>
              </w:numPr>
              <w:spacing w:before="60" w:after="60" w:line="240" w:lineRule="auto"/>
              <w:jc w:val="both"/>
              <w:rPr>
                <w:rFonts w:ascii="Cambria" w:hAnsi="Cambria" w:cs="Times New Roman"/>
                <w:sz w:val="24"/>
                <w:szCs w:val="24"/>
              </w:rPr>
            </w:pPr>
            <w:r w:rsidRPr="00BA5BAB">
              <w:rPr>
                <w:rFonts w:ascii="Cambria" w:hAnsi="Cambria" w:cs="Times New Roman"/>
                <w:sz w:val="24"/>
                <w:szCs w:val="24"/>
              </w:rPr>
              <w:t>Weighing scales appropriate for infants &lt;6 months (10g divisions)</w:t>
            </w:r>
          </w:p>
          <w:p w:rsidR="00F013BD" w:rsidRPr="00BA5BAB" w:rsidRDefault="00F013BD" w:rsidP="00F013BD">
            <w:pPr>
              <w:numPr>
                <w:ilvl w:val="0"/>
                <w:numId w:val="1"/>
              </w:numPr>
              <w:spacing w:before="60" w:after="60" w:line="240" w:lineRule="auto"/>
              <w:jc w:val="both"/>
              <w:rPr>
                <w:rFonts w:ascii="Cambria" w:hAnsi="Cambria" w:cs="Times New Roman"/>
                <w:sz w:val="24"/>
                <w:szCs w:val="24"/>
              </w:rPr>
            </w:pPr>
            <w:r w:rsidRPr="00BA5BAB">
              <w:rPr>
                <w:rFonts w:ascii="Cambria" w:hAnsi="Cambria" w:cs="Times New Roman"/>
                <w:sz w:val="24"/>
                <w:szCs w:val="24"/>
              </w:rPr>
              <w:t>Medical supplies and equipment</w:t>
            </w:r>
          </w:p>
          <w:p w:rsidR="00F013BD" w:rsidRPr="00BA5BAB" w:rsidRDefault="00F013BD" w:rsidP="00F013BD">
            <w:pPr>
              <w:numPr>
                <w:ilvl w:val="0"/>
                <w:numId w:val="1"/>
              </w:numPr>
              <w:spacing w:before="60" w:after="60" w:line="240" w:lineRule="auto"/>
              <w:jc w:val="both"/>
              <w:rPr>
                <w:rFonts w:ascii="Cambria" w:hAnsi="Cambria" w:cs="Times New Roman"/>
                <w:sz w:val="24"/>
                <w:szCs w:val="24"/>
              </w:rPr>
            </w:pPr>
            <w:r w:rsidRPr="00BA5BAB">
              <w:rPr>
                <w:rFonts w:ascii="Cambria" w:hAnsi="Cambria" w:cs="Times New Roman"/>
                <w:sz w:val="24"/>
                <w:szCs w:val="24"/>
              </w:rPr>
              <w:t>Folic Acid (only 5 mg but need 1 mg)</w:t>
            </w:r>
          </w:p>
          <w:p w:rsidR="00F013BD" w:rsidRPr="00BA5BAB" w:rsidRDefault="00F013BD" w:rsidP="00F013BD">
            <w:pPr>
              <w:numPr>
                <w:ilvl w:val="0"/>
                <w:numId w:val="1"/>
              </w:numPr>
              <w:spacing w:before="60" w:after="60" w:line="240" w:lineRule="auto"/>
              <w:jc w:val="both"/>
              <w:rPr>
                <w:rFonts w:ascii="Cambria" w:hAnsi="Cambria" w:cs="Times New Roman"/>
                <w:sz w:val="24"/>
                <w:szCs w:val="24"/>
              </w:rPr>
            </w:pPr>
            <w:r w:rsidRPr="00BA5BAB">
              <w:rPr>
                <w:rFonts w:ascii="Cambria" w:hAnsi="Cambria" w:cs="Times New Roman"/>
                <w:sz w:val="24"/>
                <w:szCs w:val="24"/>
              </w:rPr>
              <w:t xml:space="preserve">Iron (only IFA) </w:t>
            </w:r>
          </w:p>
          <w:p w:rsidR="00F013BD" w:rsidRPr="00BA5BAB" w:rsidRDefault="00F013BD" w:rsidP="00266F71">
            <w:pPr>
              <w:spacing w:before="60" w:after="60" w:line="240" w:lineRule="auto"/>
              <w:jc w:val="both"/>
              <w:rPr>
                <w:rFonts w:ascii="Cambria" w:hAnsi="Cambria" w:cs="Times New Roman"/>
                <w:sz w:val="24"/>
                <w:szCs w:val="24"/>
              </w:rPr>
            </w:pPr>
          </w:p>
        </w:tc>
        <w:tc>
          <w:tcPr>
            <w:tcW w:w="4616" w:type="dxa"/>
            <w:tcBorders>
              <w:top w:val="single" w:sz="6" w:space="0" w:color="000000"/>
              <w:left w:val="single" w:sz="6" w:space="0" w:color="000000"/>
              <w:bottom w:val="single" w:sz="8" w:space="0" w:color="000000"/>
              <w:right w:val="single" w:sz="8" w:space="0" w:color="000000"/>
            </w:tcBorders>
          </w:tcPr>
          <w:p w:rsidR="00F013BD" w:rsidRPr="00BA5BAB" w:rsidRDefault="00F013BD" w:rsidP="00266F71">
            <w:pPr>
              <w:spacing w:before="60" w:after="60" w:line="240" w:lineRule="auto"/>
              <w:jc w:val="both"/>
              <w:rPr>
                <w:rFonts w:ascii="Cambria" w:hAnsi="Cambria" w:cs="Times New Roman"/>
                <w:sz w:val="24"/>
                <w:szCs w:val="24"/>
              </w:rPr>
            </w:pPr>
            <w:r w:rsidRPr="00BA5BAB">
              <w:rPr>
                <w:rFonts w:ascii="Cambria" w:hAnsi="Cambria" w:cs="Times New Roman"/>
                <w:sz w:val="24"/>
                <w:szCs w:val="24"/>
              </w:rPr>
              <w:t>Follow WHO training modules</w:t>
            </w:r>
          </w:p>
          <w:p w:rsidR="00F013BD" w:rsidRPr="00BA5BAB" w:rsidRDefault="00F013BD" w:rsidP="00F013BD">
            <w:pPr>
              <w:numPr>
                <w:ilvl w:val="0"/>
                <w:numId w:val="1"/>
              </w:numPr>
              <w:spacing w:before="60" w:after="60" w:line="240" w:lineRule="auto"/>
              <w:jc w:val="both"/>
              <w:rPr>
                <w:rFonts w:ascii="Cambria" w:hAnsi="Cambria" w:cs="Times New Roman"/>
                <w:sz w:val="24"/>
                <w:szCs w:val="24"/>
              </w:rPr>
            </w:pPr>
            <w:r w:rsidRPr="00BA5BAB">
              <w:rPr>
                <w:rFonts w:ascii="Cambria" w:hAnsi="Cambria" w:cs="Times New Roman"/>
                <w:sz w:val="24"/>
                <w:szCs w:val="24"/>
              </w:rPr>
              <w:t>W/H charts (See Job Aid 3.1a)</w:t>
            </w:r>
          </w:p>
          <w:p w:rsidR="00F013BD" w:rsidRPr="00BA5BAB" w:rsidRDefault="00F013BD" w:rsidP="00F013BD">
            <w:pPr>
              <w:numPr>
                <w:ilvl w:val="0"/>
                <w:numId w:val="1"/>
              </w:numPr>
              <w:spacing w:before="60" w:after="60" w:line="240" w:lineRule="auto"/>
              <w:jc w:val="both"/>
              <w:rPr>
                <w:rFonts w:ascii="Cambria" w:hAnsi="Cambria" w:cs="Times New Roman"/>
                <w:sz w:val="24"/>
                <w:szCs w:val="24"/>
              </w:rPr>
            </w:pPr>
            <w:r w:rsidRPr="00BA5BAB">
              <w:rPr>
                <w:rFonts w:ascii="Cambria" w:hAnsi="Cambria" w:cs="Times New Roman"/>
                <w:sz w:val="24"/>
                <w:szCs w:val="24"/>
              </w:rPr>
              <w:t>Table target weight gain for discharge (15%) (See Job Aid 3.1r)</w:t>
            </w:r>
          </w:p>
          <w:p w:rsidR="00F013BD" w:rsidRPr="00BA5BAB" w:rsidRDefault="00F013BD" w:rsidP="00F013BD">
            <w:pPr>
              <w:numPr>
                <w:ilvl w:val="0"/>
                <w:numId w:val="1"/>
              </w:numPr>
              <w:spacing w:before="60" w:after="60" w:line="240" w:lineRule="auto"/>
              <w:jc w:val="both"/>
              <w:rPr>
                <w:rFonts w:ascii="Cambria" w:hAnsi="Cambria" w:cs="Times New Roman"/>
                <w:sz w:val="24"/>
                <w:szCs w:val="24"/>
              </w:rPr>
            </w:pPr>
            <w:r w:rsidRPr="00BA5BAB">
              <w:rPr>
                <w:rFonts w:ascii="Cambria" w:hAnsi="Cambria" w:cs="Times New Roman"/>
                <w:sz w:val="24"/>
                <w:szCs w:val="24"/>
              </w:rPr>
              <w:t>Critical  Care Pathway (CCP) (See Job Aid 3.1h)</w:t>
            </w:r>
          </w:p>
          <w:p w:rsidR="00F013BD" w:rsidRPr="00BA5BAB" w:rsidRDefault="00F013BD" w:rsidP="00F013BD">
            <w:pPr>
              <w:numPr>
                <w:ilvl w:val="0"/>
                <w:numId w:val="1"/>
              </w:numPr>
              <w:spacing w:before="60" w:after="60" w:line="240" w:lineRule="auto"/>
              <w:jc w:val="both"/>
              <w:rPr>
                <w:rFonts w:ascii="Cambria" w:hAnsi="Cambria" w:cs="Times New Roman"/>
                <w:sz w:val="24"/>
                <w:szCs w:val="24"/>
              </w:rPr>
            </w:pPr>
            <w:r w:rsidRPr="00BA5BAB">
              <w:rPr>
                <w:rFonts w:ascii="Cambria" w:hAnsi="Cambria" w:cs="Times New Roman"/>
                <w:b/>
                <w:sz w:val="24"/>
                <w:szCs w:val="24"/>
              </w:rPr>
              <w:t>A</w:t>
            </w:r>
            <w:r w:rsidRPr="00BA5BAB">
              <w:rPr>
                <w:rFonts w:ascii="Cambria" w:hAnsi="Cambria" w:cs="Times New Roman"/>
                <w:sz w:val="24"/>
                <w:szCs w:val="24"/>
              </w:rPr>
              <w:t>dmission and discharge criteria (Table 2&amp;4)</w:t>
            </w:r>
          </w:p>
          <w:p w:rsidR="00F013BD" w:rsidRPr="00BA5BAB" w:rsidRDefault="00F013BD" w:rsidP="00F013BD">
            <w:pPr>
              <w:numPr>
                <w:ilvl w:val="0"/>
                <w:numId w:val="1"/>
              </w:numPr>
              <w:spacing w:before="60" w:after="60" w:line="240" w:lineRule="auto"/>
              <w:jc w:val="both"/>
              <w:rPr>
                <w:rFonts w:ascii="Cambria" w:hAnsi="Cambria" w:cs="Times New Roman"/>
                <w:sz w:val="24"/>
                <w:szCs w:val="24"/>
              </w:rPr>
            </w:pPr>
            <w:r w:rsidRPr="00BA5BAB">
              <w:rPr>
                <w:rFonts w:ascii="Cambria" w:hAnsi="Cambria" w:cs="Times New Roman"/>
                <w:sz w:val="24"/>
                <w:szCs w:val="24"/>
              </w:rPr>
              <w:t xml:space="preserve">Dosage of F-75 (See Job Aid 3.1l), F-100 (See Job Aid 3.1n), BP-100 (See Annex 3 or Job Aid 3.1o) and </w:t>
            </w:r>
            <w:proofErr w:type="spellStart"/>
            <w:r w:rsidRPr="00BA5BAB">
              <w:rPr>
                <w:rFonts w:ascii="Cambria" w:hAnsi="Cambria" w:cs="Times New Roman"/>
                <w:sz w:val="24"/>
                <w:szCs w:val="24"/>
              </w:rPr>
              <w:t>ReSoMal</w:t>
            </w:r>
            <w:proofErr w:type="spellEnd"/>
            <w:r w:rsidRPr="00BA5BAB">
              <w:rPr>
                <w:rFonts w:ascii="Cambria" w:hAnsi="Cambria" w:cs="Times New Roman"/>
                <w:sz w:val="24"/>
                <w:szCs w:val="24"/>
              </w:rPr>
              <w:t xml:space="preserve"> (See Job Aid 3.1k)</w:t>
            </w:r>
          </w:p>
          <w:p w:rsidR="00F013BD" w:rsidRPr="00BA5BAB" w:rsidRDefault="00F013BD" w:rsidP="00F013BD">
            <w:pPr>
              <w:numPr>
                <w:ilvl w:val="0"/>
                <w:numId w:val="1"/>
              </w:numPr>
              <w:spacing w:before="60" w:after="60" w:line="240" w:lineRule="auto"/>
              <w:jc w:val="both"/>
              <w:rPr>
                <w:rFonts w:ascii="Cambria" w:hAnsi="Cambria" w:cs="Times New Roman"/>
                <w:sz w:val="24"/>
                <w:szCs w:val="24"/>
              </w:rPr>
            </w:pPr>
            <w:r w:rsidRPr="00BA5BAB">
              <w:rPr>
                <w:rFonts w:ascii="Cambria" w:hAnsi="Cambria" w:cs="Times New Roman"/>
                <w:sz w:val="24"/>
                <w:szCs w:val="24"/>
              </w:rPr>
              <w:t>Antibiotics and routine  medicine protocol for inpatient care (See Annex 1 or Job Aid 3.1i)</w:t>
            </w:r>
          </w:p>
          <w:p w:rsidR="00F013BD" w:rsidRPr="00BA5BAB" w:rsidRDefault="00F013BD" w:rsidP="00F013BD">
            <w:pPr>
              <w:numPr>
                <w:ilvl w:val="0"/>
                <w:numId w:val="1"/>
              </w:numPr>
              <w:spacing w:before="60" w:after="60" w:line="240" w:lineRule="auto"/>
              <w:jc w:val="both"/>
              <w:rPr>
                <w:rFonts w:ascii="Cambria" w:hAnsi="Cambria" w:cs="Times New Roman"/>
                <w:sz w:val="24"/>
                <w:szCs w:val="24"/>
              </w:rPr>
            </w:pPr>
            <w:r w:rsidRPr="00BA5BAB">
              <w:rPr>
                <w:rFonts w:ascii="Cambria" w:hAnsi="Cambria" w:cs="Times New Roman"/>
                <w:sz w:val="24"/>
                <w:szCs w:val="24"/>
              </w:rPr>
              <w:t xml:space="preserve">Referral slips (See Job Aid 3.1b&amp;3.1c) </w:t>
            </w:r>
          </w:p>
          <w:p w:rsidR="00F013BD" w:rsidRPr="00BA5BAB" w:rsidRDefault="00F013BD" w:rsidP="00F013BD">
            <w:pPr>
              <w:numPr>
                <w:ilvl w:val="0"/>
                <w:numId w:val="1"/>
              </w:numPr>
              <w:spacing w:before="60" w:after="60" w:line="240" w:lineRule="auto"/>
              <w:jc w:val="both"/>
              <w:rPr>
                <w:rFonts w:ascii="Cambria" w:hAnsi="Cambria" w:cs="Times New Roman"/>
                <w:sz w:val="24"/>
                <w:szCs w:val="24"/>
              </w:rPr>
            </w:pPr>
            <w:r w:rsidRPr="00BA5BAB">
              <w:rPr>
                <w:rFonts w:ascii="Cambria" w:hAnsi="Cambria" w:cs="Times New Roman"/>
                <w:sz w:val="24"/>
                <w:szCs w:val="24"/>
              </w:rPr>
              <w:t>Monthly report form (See Annex 4 or Job Aid 4.1)</w:t>
            </w:r>
          </w:p>
          <w:p w:rsidR="00F013BD" w:rsidRPr="00BA5BAB" w:rsidRDefault="00F013BD" w:rsidP="00F013BD">
            <w:pPr>
              <w:numPr>
                <w:ilvl w:val="0"/>
                <w:numId w:val="1"/>
              </w:numPr>
              <w:spacing w:before="60" w:after="60" w:line="240" w:lineRule="auto"/>
              <w:jc w:val="both"/>
              <w:rPr>
                <w:rFonts w:ascii="Cambria" w:hAnsi="Cambria" w:cs="Times New Roman"/>
                <w:sz w:val="24"/>
                <w:szCs w:val="24"/>
              </w:rPr>
            </w:pPr>
            <w:r w:rsidRPr="00BA5BAB">
              <w:rPr>
                <w:rFonts w:ascii="Cambria" w:hAnsi="Cambria" w:cs="Times New Roman"/>
                <w:sz w:val="24"/>
                <w:szCs w:val="24"/>
              </w:rPr>
              <w:t>IYCF promotion materials, including cooking demonstration guidelines (NNP) (See Job Aid 3.1q) and BFCI Flipchart</w:t>
            </w:r>
          </w:p>
          <w:p w:rsidR="00F013BD" w:rsidRPr="00BA5BAB" w:rsidRDefault="00F013BD" w:rsidP="00F013BD">
            <w:pPr>
              <w:numPr>
                <w:ilvl w:val="0"/>
                <w:numId w:val="1"/>
              </w:numPr>
              <w:spacing w:before="60" w:after="60" w:line="240" w:lineRule="auto"/>
              <w:jc w:val="both"/>
              <w:rPr>
                <w:rFonts w:ascii="Cambria" w:hAnsi="Cambria" w:cs="Times New Roman"/>
                <w:sz w:val="24"/>
                <w:szCs w:val="24"/>
              </w:rPr>
            </w:pPr>
            <w:r w:rsidRPr="00BA5BAB">
              <w:rPr>
                <w:rFonts w:ascii="Cambria" w:hAnsi="Cambria" w:cs="Times New Roman"/>
                <w:sz w:val="24"/>
                <w:szCs w:val="24"/>
              </w:rPr>
              <w:t xml:space="preserve">List of health </w:t>
            </w:r>
            <w:proofErr w:type="spellStart"/>
            <w:r w:rsidRPr="00BA5BAB">
              <w:rPr>
                <w:rFonts w:ascii="Cambria" w:hAnsi="Cambria" w:cs="Times New Roman"/>
                <w:sz w:val="24"/>
                <w:szCs w:val="24"/>
              </w:rPr>
              <w:t>centres</w:t>
            </w:r>
            <w:proofErr w:type="spellEnd"/>
            <w:r w:rsidRPr="00BA5BAB">
              <w:rPr>
                <w:rFonts w:ascii="Cambria" w:hAnsi="Cambria" w:cs="Times New Roman"/>
                <w:sz w:val="24"/>
                <w:szCs w:val="24"/>
              </w:rPr>
              <w:t xml:space="preserve"> offer outpatient management of severe acute malnutrition without medical complications </w:t>
            </w:r>
          </w:p>
          <w:p w:rsidR="00F013BD" w:rsidRPr="00BA5BAB" w:rsidRDefault="00F013BD" w:rsidP="00266F71">
            <w:pPr>
              <w:spacing w:before="60" w:after="60" w:line="240" w:lineRule="auto"/>
              <w:jc w:val="both"/>
              <w:rPr>
                <w:rFonts w:ascii="Cambria" w:hAnsi="Cambria" w:cs="Times New Roman"/>
                <w:i/>
                <w:sz w:val="24"/>
                <w:szCs w:val="24"/>
              </w:rPr>
            </w:pPr>
          </w:p>
        </w:tc>
      </w:tr>
    </w:tbl>
    <w:p w:rsidR="00F013BD" w:rsidRDefault="00F013BD" w:rsidP="0001470A"/>
    <w:p w:rsidR="0001470A" w:rsidRDefault="0001470A" w:rsidP="0001470A">
      <w:pPr>
        <w:pStyle w:val="Heading2"/>
      </w:pPr>
      <w:bookmarkStart w:id="7" w:name="_Toc339882803"/>
      <w:r>
        <w:lastRenderedPageBreak/>
        <w:t>Costing of Future Needs</w:t>
      </w:r>
      <w:bookmarkEnd w:id="7"/>
    </w:p>
    <w:p w:rsidR="00391B60" w:rsidRDefault="00391B60" w:rsidP="00391B60"/>
    <w:p w:rsidR="0009050D" w:rsidRDefault="0009050D" w:rsidP="00391B60">
      <w:r>
        <w:t>The following costs are not included</w:t>
      </w:r>
      <w:r w:rsidR="00783767">
        <w:t xml:space="preserve"> in the overall costing</w:t>
      </w:r>
      <w:r>
        <w:t>:</w:t>
      </w:r>
    </w:p>
    <w:p w:rsidR="0009050D" w:rsidRDefault="001F7A54" w:rsidP="00FB616E">
      <w:pPr>
        <w:pStyle w:val="ListParagraph"/>
        <w:numPr>
          <w:ilvl w:val="0"/>
          <w:numId w:val="4"/>
        </w:numPr>
      </w:pPr>
      <w:r>
        <w:t xml:space="preserve">In the past UNICEF provided </w:t>
      </w:r>
      <w:r w:rsidR="0009050D">
        <w:t>salary top-ups</w:t>
      </w:r>
      <w:r>
        <w:t xml:space="preserve"> to hospital staff to treat child malnutrition. </w:t>
      </w:r>
      <w:r w:rsidR="0009050D">
        <w:t>As of 2013 t</w:t>
      </w:r>
      <w:r>
        <w:t xml:space="preserve">hese incentives </w:t>
      </w:r>
      <w:r w:rsidR="0009050D">
        <w:t>will be</w:t>
      </w:r>
      <w:r>
        <w:t xml:space="preserve"> discontinued</w:t>
      </w:r>
      <w:r w:rsidR="0009050D">
        <w:t xml:space="preserve"> in HEF hospitals</w:t>
      </w:r>
      <w:r>
        <w:t xml:space="preserve"> and </w:t>
      </w:r>
      <w:r w:rsidR="0009050D">
        <w:t>replaced with a case-based quality payment</w:t>
      </w:r>
      <w:r>
        <w:t>.</w:t>
      </w:r>
      <w:r w:rsidR="00783767">
        <w:t xml:space="preserve"> In non-HEF hospitals UNICEF will also discontinue salary top-ups and will provide financing aligned with the HEF Standard Benefits Package. Total cost is estimated at USD 60,500 for 2013.</w:t>
      </w:r>
      <w:r>
        <w:t xml:space="preserve"> </w:t>
      </w:r>
    </w:p>
    <w:p w:rsidR="00783767" w:rsidRDefault="00783767" w:rsidP="00FB616E">
      <w:pPr>
        <w:pStyle w:val="ListParagraph"/>
        <w:numPr>
          <w:ilvl w:val="0"/>
          <w:numId w:val="4"/>
        </w:numPr>
      </w:pPr>
      <w:r>
        <w:t xml:space="preserve">UNICEF continues to support weekly cooking demonstrations to provide caretakers with the ability to prepare nutritious meals for their children from locally available foods. Total cost is estimated at USD 27,000 for 2013. </w:t>
      </w:r>
      <w:r w:rsidRPr="00783767">
        <w:rPr>
          <w:b/>
          <w:bCs/>
        </w:rPr>
        <w:t>Cooking demonstrations can be supported by Pooled Fund, but were not included in 2013 AOPs.</w:t>
      </w:r>
      <w:r>
        <w:t xml:space="preserve"> </w:t>
      </w:r>
    </w:p>
    <w:p w:rsidR="00670559" w:rsidRDefault="00670559" w:rsidP="00FB616E">
      <w:pPr>
        <w:pStyle w:val="ListParagraph"/>
        <w:numPr>
          <w:ilvl w:val="0"/>
          <w:numId w:val="4"/>
        </w:numPr>
      </w:pPr>
      <w:r>
        <w:t xml:space="preserve">In the past UNICEF has financed hospital renovations to provide kitchen services for cooking demonstrations and playgrounds. </w:t>
      </w:r>
    </w:p>
    <w:p w:rsidR="0009050D" w:rsidRDefault="000C1E14" w:rsidP="00FB616E">
      <w:pPr>
        <w:pStyle w:val="ListParagraph"/>
        <w:numPr>
          <w:ilvl w:val="0"/>
          <w:numId w:val="4"/>
        </w:numPr>
      </w:pPr>
      <w:r>
        <w:t>The Standard Benefits Package of Health Equity Fund and the Service Delivery Grant contracts include financing of activities related to hospital based management of acute malnutrition</w:t>
      </w:r>
      <w:r w:rsidR="00FB616E">
        <w:t>.</w:t>
      </w:r>
    </w:p>
    <w:p w:rsidR="0009050D" w:rsidRDefault="00FB616E" w:rsidP="00FB616E">
      <w:pPr>
        <w:pStyle w:val="ListParagraph"/>
        <w:numPr>
          <w:ilvl w:val="0"/>
          <w:numId w:val="4"/>
        </w:numPr>
      </w:pPr>
      <w:r>
        <w:t xml:space="preserve">Antibiotics, micronutrients and staff costs are </w:t>
      </w:r>
      <w:r w:rsidR="00783767">
        <w:t>paid for</w:t>
      </w:r>
      <w:r>
        <w:t xml:space="preserve"> by government.</w:t>
      </w:r>
      <w:r w:rsidR="0009050D">
        <w:t xml:space="preserve"> </w:t>
      </w:r>
    </w:p>
    <w:p w:rsidR="00391B60" w:rsidRDefault="004F49EF" w:rsidP="00391B60">
      <w:r>
        <w:t>It is estimated that increased coverage</w:t>
      </w:r>
      <w:r w:rsidR="00FB616E">
        <w:t xml:space="preserve"> of hospitals</w:t>
      </w:r>
      <w:r>
        <w:t xml:space="preserve"> along with increased OPD screening will nearly double the number of annual cases</w:t>
      </w:r>
      <w:r w:rsidR="000F33A4">
        <w:t xml:space="preserve"> treated in hospital</w:t>
      </w:r>
      <w:r>
        <w:t xml:space="preserve"> to 2</w:t>
      </w:r>
      <w:r w:rsidR="00FB616E">
        <w:t>,</w:t>
      </w:r>
      <w:r>
        <w:t>870</w:t>
      </w:r>
      <w:r w:rsidR="00FB616E">
        <w:t xml:space="preserve"> by 2015</w:t>
      </w:r>
      <w:r>
        <w:t>.</w:t>
      </w:r>
      <w:r w:rsidR="00FB616E">
        <w:t xml:space="preserve"> </w:t>
      </w:r>
      <w:r w:rsidR="00783767">
        <w:t>Additional c</w:t>
      </w:r>
      <w:r w:rsidR="00FB616E">
        <w:t>osting assumptions are detailed under each heading</w:t>
      </w:r>
      <w:r w:rsidR="00670559">
        <w:t xml:space="preserve"> and all costs are presented in USD</w:t>
      </w:r>
      <w:r w:rsidR="00FB616E">
        <w:t>.</w:t>
      </w:r>
      <w:r w:rsidR="00783767">
        <w:t xml:space="preserve"> Total costs presented in the </w:t>
      </w:r>
      <w:r w:rsidR="00F17741">
        <w:t>figure</w:t>
      </w:r>
      <w:r w:rsidR="00783767">
        <w:t xml:space="preserve"> below</w:t>
      </w:r>
      <w:r w:rsidR="00F17741">
        <w:t xml:space="preserve"> show an annual need of nearly $400,000 by 2015. The majority of the cost is the ready-to-use therapeutic food.</w:t>
      </w:r>
    </w:p>
    <w:p w:rsidR="00F17741" w:rsidRDefault="00F17741" w:rsidP="00F17741">
      <w:pPr>
        <w:pStyle w:val="Caption"/>
        <w:keepNext/>
      </w:pPr>
      <w:r>
        <w:lastRenderedPageBreak/>
        <w:t xml:space="preserve">Figure </w:t>
      </w:r>
      <w:r w:rsidR="008151E2">
        <w:fldChar w:fldCharType="begin"/>
      </w:r>
      <w:r w:rsidR="008151E2">
        <w:instrText xml:space="preserve"> SEQ Figure \* ARABIC </w:instrText>
      </w:r>
      <w:r w:rsidR="008151E2">
        <w:fldChar w:fldCharType="separate"/>
      </w:r>
      <w:r>
        <w:rPr>
          <w:noProof/>
        </w:rPr>
        <w:t>2</w:t>
      </w:r>
      <w:r w:rsidR="008151E2">
        <w:rPr>
          <w:noProof/>
        </w:rPr>
        <w:fldChar w:fldCharType="end"/>
      </w:r>
      <w:r>
        <w:t xml:space="preserve"> Estimated recurrent annual costs of treatment of acute malnutrition, 2013-2015</w:t>
      </w:r>
    </w:p>
    <w:p w:rsidR="00D4229B" w:rsidRDefault="00F17741">
      <w:r>
        <w:rPr>
          <w:noProof/>
        </w:rPr>
        <w:drawing>
          <wp:inline distT="0" distB="0" distL="0" distR="0" wp14:anchorId="45399689" wp14:editId="335CECCF">
            <wp:extent cx="5600700" cy="34766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1B60" w:rsidRPr="00391B60" w:rsidRDefault="00391B60">
      <w:pPr>
        <w:rPr>
          <w:b/>
          <w:bCs/>
          <w:u w:val="single"/>
        </w:rPr>
      </w:pPr>
      <w:r w:rsidRPr="00391B60">
        <w:rPr>
          <w:b/>
          <w:bCs/>
          <w:u w:val="single"/>
        </w:rPr>
        <w:t>Training</w:t>
      </w:r>
    </w:p>
    <w:p w:rsidR="002429A0" w:rsidRDefault="00391B60">
      <w:r>
        <w:t xml:space="preserve">Training of one hospital costs approximately $1,000. </w:t>
      </w:r>
      <w:r w:rsidR="002429A0">
        <w:t xml:space="preserve">In 2013 the National Nutrition </w:t>
      </w:r>
      <w:proofErr w:type="spellStart"/>
      <w:r w:rsidR="002429A0">
        <w:t>Programme</w:t>
      </w:r>
      <w:proofErr w:type="spellEnd"/>
      <w:r w:rsidR="002429A0">
        <w:t xml:space="preserve"> has requested </w:t>
      </w:r>
      <w:r>
        <w:t>~30,000 from Pooled Fund for a refresher training of all implementing hospitals and ~16,000 for training of new hospitals. This latter training will add 16 hospitals. An additional 5 hospitals can be trained for $5,000 in 2014 with another refresher in 2015 costing ~$53,000.</w:t>
      </w:r>
      <w:r w:rsidR="00783767">
        <w:t xml:space="preserve"> This will bring the total number of implementing hospitals to 53 by 2015.</w:t>
      </w:r>
      <w:r>
        <w:t xml:space="preserve"> </w:t>
      </w:r>
    </w:p>
    <w:p w:rsidR="002429A0" w:rsidRDefault="000C1E14" w:rsidP="000C1E14">
      <w:pPr>
        <w:pStyle w:val="ListParagraph"/>
        <w:numPr>
          <w:ilvl w:val="0"/>
          <w:numId w:val="2"/>
        </w:numPr>
      </w:pPr>
      <w:r>
        <w:t xml:space="preserve">2013: 46,000 </w:t>
      </w:r>
    </w:p>
    <w:p w:rsidR="000C1E14" w:rsidRDefault="000C1E14" w:rsidP="000C1E14">
      <w:pPr>
        <w:pStyle w:val="ListParagraph"/>
        <w:numPr>
          <w:ilvl w:val="0"/>
          <w:numId w:val="2"/>
        </w:numPr>
      </w:pPr>
      <w:r>
        <w:t xml:space="preserve">2014: 5,000 </w:t>
      </w:r>
    </w:p>
    <w:p w:rsidR="000C1E14" w:rsidRDefault="000C1E14" w:rsidP="000C1E14">
      <w:pPr>
        <w:pStyle w:val="ListParagraph"/>
        <w:numPr>
          <w:ilvl w:val="0"/>
          <w:numId w:val="2"/>
        </w:numPr>
      </w:pPr>
      <w:r>
        <w:t xml:space="preserve">2015: 53,000 </w:t>
      </w:r>
    </w:p>
    <w:p w:rsidR="000C1E14" w:rsidRDefault="000C1E14">
      <w:pPr>
        <w:rPr>
          <w:b/>
          <w:bCs/>
          <w:u w:val="single"/>
        </w:rPr>
      </w:pPr>
    </w:p>
    <w:p w:rsidR="00391B60" w:rsidRPr="00391B60" w:rsidRDefault="00391B60">
      <w:pPr>
        <w:rPr>
          <w:b/>
          <w:bCs/>
          <w:u w:val="single"/>
        </w:rPr>
      </w:pPr>
      <w:r w:rsidRPr="00391B60">
        <w:rPr>
          <w:b/>
          <w:bCs/>
          <w:u w:val="single"/>
        </w:rPr>
        <w:t>Coordination and Supervision</w:t>
      </w:r>
    </w:p>
    <w:p w:rsidR="000C1E14" w:rsidRDefault="00391B60">
      <w:r>
        <w:t xml:space="preserve">Every year the National Nutrition </w:t>
      </w:r>
      <w:proofErr w:type="spellStart"/>
      <w:r>
        <w:t>Programme</w:t>
      </w:r>
      <w:proofErr w:type="spellEnd"/>
      <w:r>
        <w:t xml:space="preserve"> brings together all of the hospitals implementing MAM to share lessons learned and discuss operational constraints. For 2013 they have requested $13,000 for this activity. In addition they have requested $10,000 for supervision of the activity.</w:t>
      </w:r>
      <w:r w:rsidR="000C1E14">
        <w:t xml:space="preserve"> At the subnational level more coordination and supervision is needed.</w:t>
      </w:r>
      <w:r w:rsidR="00131824">
        <w:t xml:space="preserve"> </w:t>
      </w:r>
      <w:r w:rsidR="00131824" w:rsidRPr="00783767">
        <w:rPr>
          <w:b/>
          <w:bCs/>
        </w:rPr>
        <w:t xml:space="preserve">2013 AOPs </w:t>
      </w:r>
      <w:r w:rsidR="00783767" w:rsidRPr="00783767">
        <w:rPr>
          <w:b/>
          <w:bCs/>
        </w:rPr>
        <w:t>have not included</w:t>
      </w:r>
      <w:r w:rsidR="00131824" w:rsidRPr="00783767">
        <w:rPr>
          <w:b/>
          <w:bCs/>
        </w:rPr>
        <w:t xml:space="preserve"> </w:t>
      </w:r>
      <w:r w:rsidR="00ED7117">
        <w:rPr>
          <w:b/>
          <w:bCs/>
        </w:rPr>
        <w:t>coordination/supervision at the subnational level</w:t>
      </w:r>
      <w:r w:rsidR="00783767" w:rsidRPr="00783767">
        <w:rPr>
          <w:b/>
          <w:bCs/>
        </w:rPr>
        <w:t xml:space="preserve"> </w:t>
      </w:r>
      <w:r w:rsidR="00783767" w:rsidRPr="00ED7117">
        <w:t>and the activity</w:t>
      </w:r>
      <w:r w:rsidR="00131824" w:rsidRPr="00ED7117">
        <w:t xml:space="preserve"> will be financed by </w:t>
      </w:r>
      <w:r w:rsidR="00783767" w:rsidRPr="00ED7117">
        <w:t>UNICEF.</w:t>
      </w:r>
      <w:r w:rsidR="000C1E14" w:rsidRPr="00ED7117">
        <w:t xml:space="preserve"> </w:t>
      </w:r>
      <w:r w:rsidR="00ED7117" w:rsidRPr="00ED7117">
        <w:t>Costs are based on 32 implementing hospitals in 2013, 48 in 2014, and 53 in 2015.</w:t>
      </w:r>
    </w:p>
    <w:p w:rsidR="000C1E14" w:rsidRDefault="000C1E14" w:rsidP="000C1E14">
      <w:pPr>
        <w:pStyle w:val="ListParagraph"/>
        <w:numPr>
          <w:ilvl w:val="0"/>
          <w:numId w:val="3"/>
        </w:numPr>
      </w:pPr>
      <w:r>
        <w:t>2013: 23,000</w:t>
      </w:r>
      <w:r w:rsidR="00131824">
        <w:t xml:space="preserve">; </w:t>
      </w:r>
      <w:r w:rsidR="00ED7117">
        <w:t>2</w:t>
      </w:r>
      <w:r w:rsidR="00131824">
        <w:t xml:space="preserve">0,000 sub </w:t>
      </w:r>
      <w:proofErr w:type="spellStart"/>
      <w:r w:rsidR="00131824">
        <w:t>nat’l</w:t>
      </w:r>
      <w:proofErr w:type="spellEnd"/>
    </w:p>
    <w:p w:rsidR="000C1E14" w:rsidRDefault="000C1E14" w:rsidP="000C1E14">
      <w:pPr>
        <w:pStyle w:val="ListParagraph"/>
        <w:numPr>
          <w:ilvl w:val="0"/>
          <w:numId w:val="3"/>
        </w:numPr>
      </w:pPr>
      <w:r>
        <w:lastRenderedPageBreak/>
        <w:t>2014: 34,500</w:t>
      </w:r>
      <w:r w:rsidR="00131824">
        <w:t xml:space="preserve">; </w:t>
      </w:r>
      <w:r w:rsidR="00ED7117">
        <w:t>3</w:t>
      </w:r>
      <w:r w:rsidR="00131824">
        <w:t xml:space="preserve">0,000 sub </w:t>
      </w:r>
      <w:proofErr w:type="spellStart"/>
      <w:r w:rsidR="00131824">
        <w:t>nat’l</w:t>
      </w:r>
      <w:proofErr w:type="spellEnd"/>
    </w:p>
    <w:p w:rsidR="00391B60" w:rsidRDefault="000C1E14" w:rsidP="000C1E14">
      <w:pPr>
        <w:pStyle w:val="ListParagraph"/>
        <w:numPr>
          <w:ilvl w:val="0"/>
          <w:numId w:val="3"/>
        </w:numPr>
      </w:pPr>
      <w:r>
        <w:t>2015: 40,000</w:t>
      </w:r>
      <w:r w:rsidR="00131824">
        <w:t xml:space="preserve">; </w:t>
      </w:r>
      <w:r w:rsidR="00ED7117">
        <w:t>33</w:t>
      </w:r>
      <w:r w:rsidR="00131824">
        <w:t>,</w:t>
      </w:r>
      <w:r w:rsidR="00ED7117">
        <w:t>1</w:t>
      </w:r>
      <w:r w:rsidR="00131824">
        <w:t xml:space="preserve">00 sub </w:t>
      </w:r>
      <w:proofErr w:type="spellStart"/>
      <w:r w:rsidR="00131824">
        <w:t>nat’l</w:t>
      </w:r>
      <w:proofErr w:type="spellEnd"/>
    </w:p>
    <w:p w:rsidR="002429A0" w:rsidRDefault="002429A0"/>
    <w:p w:rsidR="00131824" w:rsidRDefault="00131824">
      <w:pPr>
        <w:rPr>
          <w:b/>
          <w:bCs/>
          <w:u w:val="single"/>
        </w:rPr>
      </w:pPr>
      <w:r w:rsidRPr="00131824">
        <w:rPr>
          <w:b/>
          <w:bCs/>
          <w:u w:val="single"/>
        </w:rPr>
        <w:t>Supply</w:t>
      </w:r>
    </w:p>
    <w:p w:rsidR="00850DD4" w:rsidRDefault="00670559">
      <w:r>
        <w:t xml:space="preserve">The commodities used for the treatment of acute malnutrition that are not used for other health services include </w:t>
      </w:r>
      <w:proofErr w:type="spellStart"/>
      <w:r>
        <w:t>ReSoMal</w:t>
      </w:r>
      <w:proofErr w:type="spellEnd"/>
      <w:r>
        <w:t xml:space="preserve">, F-75, F-100, and ready-to-use therapeutic food. Based on 2013 cost estimates for these commodities the average cost per child for treatment is USD </w:t>
      </w:r>
      <w:r w:rsidR="000F33A4">
        <w:t>74.3. The cost of RUTF represents 91% of the total. Annual costs are based on maintaining treatment of 624 children per year through outpatient services and increasing total number of cases from 2</w:t>
      </w:r>
      <w:r w:rsidR="00F17741">
        <w:t>,</w:t>
      </w:r>
      <w:r w:rsidR="000F33A4">
        <w:t>357 in 2013, to 3</w:t>
      </w:r>
      <w:r w:rsidR="00F17741">
        <w:t>,</w:t>
      </w:r>
      <w:r w:rsidR="000F33A4">
        <w:t>233 in 2014, and to 3</w:t>
      </w:r>
      <w:r w:rsidR="00F17741">
        <w:t>,</w:t>
      </w:r>
      <w:r w:rsidR="000F33A4">
        <w:t xml:space="preserve">494 by 2015. </w:t>
      </w:r>
    </w:p>
    <w:p w:rsidR="004F49EF" w:rsidRDefault="000F33A4" w:rsidP="000F33A4">
      <w:pPr>
        <w:pStyle w:val="ListParagraph"/>
        <w:numPr>
          <w:ilvl w:val="0"/>
          <w:numId w:val="5"/>
        </w:numPr>
      </w:pPr>
      <w:r>
        <w:t>2013: 175,125</w:t>
      </w:r>
    </w:p>
    <w:p w:rsidR="000F33A4" w:rsidRDefault="000F33A4" w:rsidP="000F33A4">
      <w:pPr>
        <w:pStyle w:val="ListParagraph"/>
        <w:numPr>
          <w:ilvl w:val="0"/>
          <w:numId w:val="5"/>
        </w:numPr>
      </w:pPr>
      <w:r>
        <w:t>2014: 240,211</w:t>
      </w:r>
    </w:p>
    <w:p w:rsidR="000F33A4" w:rsidRDefault="000F33A4" w:rsidP="000F33A4">
      <w:pPr>
        <w:pStyle w:val="ListParagraph"/>
        <w:numPr>
          <w:ilvl w:val="0"/>
          <w:numId w:val="5"/>
        </w:numPr>
      </w:pPr>
      <w:r>
        <w:t>2015: 259,604</w:t>
      </w:r>
    </w:p>
    <w:p w:rsidR="004F49EF" w:rsidRPr="001022E9" w:rsidRDefault="004F49EF"/>
    <w:p w:rsidR="00D4229B" w:rsidRPr="00D4229B" w:rsidRDefault="00D4229B" w:rsidP="00C03D0B"/>
    <w:sectPr w:rsidR="00D4229B" w:rsidRPr="00D4229B" w:rsidSect="00F013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E2" w:rsidRDefault="008151E2" w:rsidP="00374FF6">
      <w:pPr>
        <w:spacing w:after="0" w:line="240" w:lineRule="auto"/>
      </w:pPr>
      <w:r>
        <w:separator/>
      </w:r>
    </w:p>
  </w:endnote>
  <w:endnote w:type="continuationSeparator" w:id="0">
    <w:p w:rsidR="008151E2" w:rsidRDefault="008151E2" w:rsidP="0037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DaunPenh">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0B" w:rsidRDefault="00C03D0B">
    <w:pPr>
      <w:pStyle w:val="Footer"/>
    </w:pPr>
    <w:r>
      <w:t>Draft</w:t>
    </w:r>
    <w:r>
      <w:ptab w:relativeTo="margin" w:alignment="center" w:leader="none"/>
    </w:r>
    <w:proofErr w:type="spellStart"/>
    <w:r>
      <w:t>Draft</w:t>
    </w:r>
    <w:proofErr w:type="spellEnd"/>
    <w:r>
      <w:ptab w:relativeTo="margin" w:alignment="right" w:leader="none"/>
    </w:r>
    <w:proofErr w:type="spellStart"/>
    <w:r>
      <w:t>Draft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E2" w:rsidRDefault="008151E2" w:rsidP="00374FF6">
      <w:pPr>
        <w:spacing w:after="0" w:line="240" w:lineRule="auto"/>
      </w:pPr>
      <w:r>
        <w:separator/>
      </w:r>
    </w:p>
  </w:footnote>
  <w:footnote w:type="continuationSeparator" w:id="0">
    <w:p w:rsidR="008151E2" w:rsidRDefault="008151E2" w:rsidP="00374FF6">
      <w:pPr>
        <w:spacing w:after="0" w:line="240" w:lineRule="auto"/>
      </w:pPr>
      <w:r>
        <w:continuationSeparator/>
      </w:r>
    </w:p>
  </w:footnote>
  <w:footnote w:id="1">
    <w:p w:rsidR="00E43BC1" w:rsidRDefault="00E43BC1">
      <w:pPr>
        <w:pStyle w:val="FootnoteText"/>
      </w:pPr>
      <w:r>
        <w:rPr>
          <w:rStyle w:val="FootnoteReference"/>
        </w:rPr>
        <w:footnoteRef/>
      </w:r>
      <w:r>
        <w:t xml:space="preserve"> Target areas include Kampong </w:t>
      </w:r>
      <w:proofErr w:type="spellStart"/>
      <w:r>
        <w:t>Speu</w:t>
      </w:r>
      <w:proofErr w:type="spellEnd"/>
      <w:r>
        <w:t xml:space="preserve">, </w:t>
      </w:r>
      <w:proofErr w:type="spellStart"/>
      <w:r>
        <w:t>Kandal</w:t>
      </w:r>
      <w:proofErr w:type="spellEnd"/>
      <w:r>
        <w:t xml:space="preserve">, Takeo, </w:t>
      </w:r>
      <w:proofErr w:type="spellStart"/>
      <w:r>
        <w:t>Siem</w:t>
      </w:r>
      <w:proofErr w:type="spellEnd"/>
      <w:r>
        <w:t xml:space="preserve"> Reap, </w:t>
      </w:r>
      <w:proofErr w:type="spellStart"/>
      <w:r>
        <w:t>Pursat</w:t>
      </w:r>
      <w:proofErr w:type="spellEnd"/>
      <w:r>
        <w:t xml:space="preserve">, </w:t>
      </w:r>
      <w:proofErr w:type="spellStart"/>
      <w:r>
        <w:t>Banteay</w:t>
      </w:r>
      <w:proofErr w:type="spellEnd"/>
      <w:r>
        <w:t xml:space="preserve"> Mean </w:t>
      </w:r>
      <w:proofErr w:type="spellStart"/>
      <w:r>
        <w:t>Chey</w:t>
      </w:r>
      <w:proofErr w:type="spellEnd"/>
      <w:r>
        <w:t xml:space="preserve">, and Prey </w:t>
      </w:r>
      <w:proofErr w:type="spellStart"/>
      <w:r>
        <w:t>Veng</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1264"/>
    <w:multiLevelType w:val="hybridMultilevel"/>
    <w:tmpl w:val="02E6A2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A545F5A"/>
    <w:multiLevelType w:val="hybridMultilevel"/>
    <w:tmpl w:val="7A64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47460"/>
    <w:multiLevelType w:val="hybridMultilevel"/>
    <w:tmpl w:val="D3EA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67210E"/>
    <w:multiLevelType w:val="hybridMultilevel"/>
    <w:tmpl w:val="8F76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A6F45"/>
    <w:multiLevelType w:val="hybridMultilevel"/>
    <w:tmpl w:val="0060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AD"/>
    <w:rsid w:val="00000A4F"/>
    <w:rsid w:val="0001470A"/>
    <w:rsid w:val="00055424"/>
    <w:rsid w:val="0009050D"/>
    <w:rsid w:val="000A5945"/>
    <w:rsid w:val="000C1E14"/>
    <w:rsid w:val="000D6547"/>
    <w:rsid w:val="000F33A4"/>
    <w:rsid w:val="001022E9"/>
    <w:rsid w:val="00131824"/>
    <w:rsid w:val="00151008"/>
    <w:rsid w:val="0019680B"/>
    <w:rsid w:val="001F3254"/>
    <w:rsid w:val="001F7A54"/>
    <w:rsid w:val="0022347B"/>
    <w:rsid w:val="002429A0"/>
    <w:rsid w:val="002475C3"/>
    <w:rsid w:val="00266F71"/>
    <w:rsid w:val="00267760"/>
    <w:rsid w:val="002A08C7"/>
    <w:rsid w:val="00355BE5"/>
    <w:rsid w:val="00374FF6"/>
    <w:rsid w:val="003841CD"/>
    <w:rsid w:val="00390765"/>
    <w:rsid w:val="00391B60"/>
    <w:rsid w:val="003C06B4"/>
    <w:rsid w:val="003F71F3"/>
    <w:rsid w:val="003F78F9"/>
    <w:rsid w:val="0040046F"/>
    <w:rsid w:val="004C207D"/>
    <w:rsid w:val="004C5B85"/>
    <w:rsid w:val="004D45E3"/>
    <w:rsid w:val="004F49EF"/>
    <w:rsid w:val="00504693"/>
    <w:rsid w:val="00532D75"/>
    <w:rsid w:val="00550060"/>
    <w:rsid w:val="005D2AAD"/>
    <w:rsid w:val="006453DB"/>
    <w:rsid w:val="00657413"/>
    <w:rsid w:val="0066266C"/>
    <w:rsid w:val="00670559"/>
    <w:rsid w:val="00681B05"/>
    <w:rsid w:val="006A2C6C"/>
    <w:rsid w:val="006B60EA"/>
    <w:rsid w:val="007129B5"/>
    <w:rsid w:val="00783767"/>
    <w:rsid w:val="007B34B1"/>
    <w:rsid w:val="008116A8"/>
    <w:rsid w:val="008151E2"/>
    <w:rsid w:val="00850DD4"/>
    <w:rsid w:val="00875906"/>
    <w:rsid w:val="008A6473"/>
    <w:rsid w:val="008E7E30"/>
    <w:rsid w:val="00963BFA"/>
    <w:rsid w:val="009D46BE"/>
    <w:rsid w:val="009F62A2"/>
    <w:rsid w:val="00A15D97"/>
    <w:rsid w:val="00A25805"/>
    <w:rsid w:val="00A44D03"/>
    <w:rsid w:val="00A947D1"/>
    <w:rsid w:val="00AA1BCE"/>
    <w:rsid w:val="00AE0961"/>
    <w:rsid w:val="00BF01A8"/>
    <w:rsid w:val="00BF7D23"/>
    <w:rsid w:val="00C03D0B"/>
    <w:rsid w:val="00C166F1"/>
    <w:rsid w:val="00C91014"/>
    <w:rsid w:val="00D4229B"/>
    <w:rsid w:val="00DE3D69"/>
    <w:rsid w:val="00E205F2"/>
    <w:rsid w:val="00E43BC1"/>
    <w:rsid w:val="00E64ED7"/>
    <w:rsid w:val="00ED7117"/>
    <w:rsid w:val="00F013BD"/>
    <w:rsid w:val="00F0298C"/>
    <w:rsid w:val="00F17741"/>
    <w:rsid w:val="00FB616E"/>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6"/>
        <w:lang w:val="en-US" w:eastAsia="ko-KR"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AAD"/>
    <w:pPr>
      <w:keepNext/>
      <w:keepLines/>
      <w:spacing w:before="480" w:after="0"/>
      <w:outlineLvl w:val="0"/>
    </w:pPr>
    <w:rPr>
      <w:rFonts w:asciiTheme="majorHAnsi" w:eastAsiaTheme="majorEastAsia" w:hAnsiTheme="majorHAnsi" w:cstheme="majorBidi"/>
      <w:b/>
      <w:bCs/>
      <w:color w:val="365F91" w:themeColor="accent1" w:themeShade="BF"/>
      <w:sz w:val="28"/>
      <w:szCs w:val="45"/>
    </w:rPr>
  </w:style>
  <w:style w:type="paragraph" w:styleId="Heading2">
    <w:name w:val="heading 2"/>
    <w:basedOn w:val="Normal"/>
    <w:next w:val="Normal"/>
    <w:link w:val="Heading2Char"/>
    <w:uiPriority w:val="9"/>
    <w:unhideWhenUsed/>
    <w:qFormat/>
    <w:rsid w:val="005D2AAD"/>
    <w:pPr>
      <w:keepNext/>
      <w:keepLines/>
      <w:spacing w:before="200" w:after="0"/>
      <w:outlineLvl w:val="1"/>
    </w:pPr>
    <w:rPr>
      <w:rFonts w:asciiTheme="majorHAnsi" w:eastAsiaTheme="majorEastAsia" w:hAnsiTheme="majorHAnsi" w:cstheme="majorBidi"/>
      <w:b/>
      <w:bCs/>
      <w:color w:val="4F81BD" w:themeColor="accent1"/>
      <w:sz w:val="26"/>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AAD"/>
    <w:rPr>
      <w:rFonts w:asciiTheme="majorHAnsi" w:eastAsiaTheme="majorEastAsia" w:hAnsiTheme="majorHAnsi" w:cstheme="majorBidi"/>
      <w:b/>
      <w:bCs/>
      <w:color w:val="365F91" w:themeColor="accent1" w:themeShade="BF"/>
      <w:sz w:val="28"/>
      <w:szCs w:val="45"/>
    </w:rPr>
  </w:style>
  <w:style w:type="character" w:customStyle="1" w:styleId="Heading2Char">
    <w:name w:val="Heading 2 Char"/>
    <w:basedOn w:val="DefaultParagraphFont"/>
    <w:link w:val="Heading2"/>
    <w:uiPriority w:val="9"/>
    <w:rsid w:val="005D2AAD"/>
    <w:rPr>
      <w:rFonts w:asciiTheme="majorHAnsi" w:eastAsiaTheme="majorEastAsia" w:hAnsiTheme="majorHAnsi" w:cstheme="majorBidi"/>
      <w:b/>
      <w:bCs/>
      <w:color w:val="4F81BD" w:themeColor="accent1"/>
      <w:sz w:val="26"/>
      <w:szCs w:val="42"/>
    </w:rPr>
  </w:style>
  <w:style w:type="paragraph" w:styleId="FootnoteText">
    <w:name w:val="footnote text"/>
    <w:basedOn w:val="Normal"/>
    <w:link w:val="FootnoteTextChar"/>
    <w:uiPriority w:val="99"/>
    <w:semiHidden/>
    <w:unhideWhenUsed/>
    <w:rsid w:val="00374FF6"/>
    <w:pPr>
      <w:spacing w:after="0" w:line="240" w:lineRule="auto"/>
    </w:pPr>
    <w:rPr>
      <w:sz w:val="20"/>
      <w:szCs w:val="32"/>
    </w:rPr>
  </w:style>
  <w:style w:type="character" w:customStyle="1" w:styleId="FootnoteTextChar">
    <w:name w:val="Footnote Text Char"/>
    <w:basedOn w:val="DefaultParagraphFont"/>
    <w:link w:val="FootnoteText"/>
    <w:uiPriority w:val="99"/>
    <w:semiHidden/>
    <w:rsid w:val="00374FF6"/>
    <w:rPr>
      <w:sz w:val="20"/>
      <w:szCs w:val="32"/>
    </w:rPr>
  </w:style>
  <w:style w:type="character" w:styleId="FootnoteReference">
    <w:name w:val="footnote reference"/>
    <w:basedOn w:val="DefaultParagraphFont"/>
    <w:uiPriority w:val="99"/>
    <w:semiHidden/>
    <w:unhideWhenUsed/>
    <w:rsid w:val="00374FF6"/>
    <w:rPr>
      <w:vertAlign w:val="superscript"/>
    </w:rPr>
  </w:style>
  <w:style w:type="character" w:styleId="CommentReference">
    <w:name w:val="annotation reference"/>
    <w:basedOn w:val="DefaultParagraphFont"/>
    <w:uiPriority w:val="99"/>
    <w:semiHidden/>
    <w:unhideWhenUsed/>
    <w:rsid w:val="008A6473"/>
    <w:rPr>
      <w:sz w:val="16"/>
      <w:szCs w:val="16"/>
    </w:rPr>
  </w:style>
  <w:style w:type="paragraph" w:styleId="CommentText">
    <w:name w:val="annotation text"/>
    <w:basedOn w:val="Normal"/>
    <w:link w:val="CommentTextChar"/>
    <w:uiPriority w:val="99"/>
    <w:semiHidden/>
    <w:unhideWhenUsed/>
    <w:rsid w:val="008A6473"/>
    <w:pPr>
      <w:spacing w:line="240" w:lineRule="auto"/>
    </w:pPr>
    <w:rPr>
      <w:sz w:val="20"/>
      <w:szCs w:val="32"/>
    </w:rPr>
  </w:style>
  <w:style w:type="character" w:customStyle="1" w:styleId="CommentTextChar">
    <w:name w:val="Comment Text Char"/>
    <w:basedOn w:val="DefaultParagraphFont"/>
    <w:link w:val="CommentText"/>
    <w:uiPriority w:val="99"/>
    <w:semiHidden/>
    <w:rsid w:val="008A6473"/>
    <w:rPr>
      <w:sz w:val="20"/>
      <w:szCs w:val="32"/>
    </w:rPr>
  </w:style>
  <w:style w:type="paragraph" w:styleId="CommentSubject">
    <w:name w:val="annotation subject"/>
    <w:basedOn w:val="CommentText"/>
    <w:next w:val="CommentText"/>
    <w:link w:val="CommentSubjectChar"/>
    <w:uiPriority w:val="99"/>
    <w:semiHidden/>
    <w:unhideWhenUsed/>
    <w:rsid w:val="008A6473"/>
    <w:rPr>
      <w:b/>
      <w:bCs/>
    </w:rPr>
  </w:style>
  <w:style w:type="character" w:customStyle="1" w:styleId="CommentSubjectChar">
    <w:name w:val="Comment Subject Char"/>
    <w:basedOn w:val="CommentTextChar"/>
    <w:link w:val="CommentSubject"/>
    <w:uiPriority w:val="99"/>
    <w:semiHidden/>
    <w:rsid w:val="008A6473"/>
    <w:rPr>
      <w:b/>
      <w:bCs/>
      <w:sz w:val="20"/>
      <w:szCs w:val="32"/>
    </w:rPr>
  </w:style>
  <w:style w:type="paragraph" w:styleId="BalloonText">
    <w:name w:val="Balloon Text"/>
    <w:basedOn w:val="Normal"/>
    <w:link w:val="BalloonTextChar"/>
    <w:uiPriority w:val="99"/>
    <w:semiHidden/>
    <w:unhideWhenUsed/>
    <w:rsid w:val="008A6473"/>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8A6473"/>
    <w:rPr>
      <w:rFonts w:ascii="Tahoma" w:hAnsi="Tahoma" w:cs="Tahoma"/>
      <w:sz w:val="16"/>
      <w:szCs w:val="26"/>
    </w:rPr>
  </w:style>
  <w:style w:type="paragraph" w:styleId="TOCHeading">
    <w:name w:val="TOC Heading"/>
    <w:basedOn w:val="Heading1"/>
    <w:next w:val="Normal"/>
    <w:uiPriority w:val="39"/>
    <w:semiHidden/>
    <w:unhideWhenUsed/>
    <w:qFormat/>
    <w:rsid w:val="007B34B1"/>
    <w:pPr>
      <w:outlineLvl w:val="9"/>
    </w:pPr>
    <w:rPr>
      <w:szCs w:val="28"/>
      <w:lang w:eastAsia="ja-JP" w:bidi="ar-SA"/>
    </w:rPr>
  </w:style>
  <w:style w:type="paragraph" w:styleId="TOC1">
    <w:name w:val="toc 1"/>
    <w:basedOn w:val="Normal"/>
    <w:next w:val="Normal"/>
    <w:autoRedefine/>
    <w:uiPriority w:val="39"/>
    <w:unhideWhenUsed/>
    <w:rsid w:val="007B34B1"/>
    <w:pPr>
      <w:spacing w:after="100"/>
    </w:pPr>
  </w:style>
  <w:style w:type="paragraph" w:styleId="TOC2">
    <w:name w:val="toc 2"/>
    <w:basedOn w:val="Normal"/>
    <w:next w:val="Normal"/>
    <w:autoRedefine/>
    <w:uiPriority w:val="39"/>
    <w:unhideWhenUsed/>
    <w:rsid w:val="007B34B1"/>
    <w:pPr>
      <w:spacing w:after="100"/>
      <w:ind w:left="220"/>
    </w:pPr>
  </w:style>
  <w:style w:type="character" w:styleId="Hyperlink">
    <w:name w:val="Hyperlink"/>
    <w:basedOn w:val="DefaultParagraphFont"/>
    <w:uiPriority w:val="99"/>
    <w:unhideWhenUsed/>
    <w:rsid w:val="007B34B1"/>
    <w:rPr>
      <w:color w:val="0000FF" w:themeColor="hyperlink"/>
      <w:u w:val="single"/>
    </w:rPr>
  </w:style>
  <w:style w:type="paragraph" w:styleId="Title">
    <w:name w:val="Title"/>
    <w:basedOn w:val="Normal"/>
    <w:next w:val="Normal"/>
    <w:link w:val="TitleChar"/>
    <w:uiPriority w:val="10"/>
    <w:qFormat/>
    <w:rsid w:val="007B34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85"/>
    </w:rPr>
  </w:style>
  <w:style w:type="character" w:customStyle="1" w:styleId="TitleChar">
    <w:name w:val="Title Char"/>
    <w:basedOn w:val="DefaultParagraphFont"/>
    <w:link w:val="Title"/>
    <w:uiPriority w:val="10"/>
    <w:rsid w:val="007B34B1"/>
    <w:rPr>
      <w:rFonts w:asciiTheme="majorHAnsi" w:eastAsiaTheme="majorEastAsia" w:hAnsiTheme="majorHAnsi" w:cstheme="majorBidi"/>
      <w:color w:val="17365D" w:themeColor="text2" w:themeShade="BF"/>
      <w:spacing w:val="5"/>
      <w:kern w:val="28"/>
      <w:sz w:val="52"/>
      <w:szCs w:val="85"/>
    </w:rPr>
  </w:style>
  <w:style w:type="paragraph" w:styleId="Date">
    <w:name w:val="Date"/>
    <w:basedOn w:val="Normal"/>
    <w:next w:val="Normal"/>
    <w:link w:val="DateChar"/>
    <w:uiPriority w:val="99"/>
    <w:semiHidden/>
    <w:unhideWhenUsed/>
    <w:rsid w:val="00151008"/>
  </w:style>
  <w:style w:type="character" w:customStyle="1" w:styleId="DateChar">
    <w:name w:val="Date Char"/>
    <w:basedOn w:val="DefaultParagraphFont"/>
    <w:link w:val="Date"/>
    <w:uiPriority w:val="99"/>
    <w:semiHidden/>
    <w:rsid w:val="00151008"/>
  </w:style>
  <w:style w:type="paragraph" w:styleId="ListParagraph">
    <w:name w:val="List Paragraph"/>
    <w:basedOn w:val="Normal"/>
    <w:uiPriority w:val="34"/>
    <w:qFormat/>
    <w:rsid w:val="000C1E14"/>
    <w:pPr>
      <w:ind w:left="720"/>
      <w:contextualSpacing/>
    </w:pPr>
  </w:style>
  <w:style w:type="paragraph" w:styleId="Caption">
    <w:name w:val="caption"/>
    <w:basedOn w:val="Normal"/>
    <w:next w:val="Normal"/>
    <w:uiPriority w:val="35"/>
    <w:unhideWhenUsed/>
    <w:qFormat/>
    <w:rsid w:val="00267760"/>
    <w:pPr>
      <w:spacing w:line="240" w:lineRule="auto"/>
    </w:pPr>
    <w:rPr>
      <w:b/>
      <w:bCs/>
      <w:color w:val="4F81BD" w:themeColor="accent1"/>
      <w:sz w:val="18"/>
      <w:szCs w:val="29"/>
    </w:rPr>
  </w:style>
  <w:style w:type="paragraph" w:styleId="Header">
    <w:name w:val="header"/>
    <w:basedOn w:val="Normal"/>
    <w:link w:val="HeaderChar"/>
    <w:uiPriority w:val="99"/>
    <w:unhideWhenUsed/>
    <w:rsid w:val="00C0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D0B"/>
  </w:style>
  <w:style w:type="paragraph" w:styleId="Footer">
    <w:name w:val="footer"/>
    <w:basedOn w:val="Normal"/>
    <w:link w:val="FooterChar"/>
    <w:uiPriority w:val="99"/>
    <w:unhideWhenUsed/>
    <w:rsid w:val="00C0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6"/>
        <w:lang w:val="en-US" w:eastAsia="ko-KR"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AAD"/>
    <w:pPr>
      <w:keepNext/>
      <w:keepLines/>
      <w:spacing w:before="480" w:after="0"/>
      <w:outlineLvl w:val="0"/>
    </w:pPr>
    <w:rPr>
      <w:rFonts w:asciiTheme="majorHAnsi" w:eastAsiaTheme="majorEastAsia" w:hAnsiTheme="majorHAnsi" w:cstheme="majorBidi"/>
      <w:b/>
      <w:bCs/>
      <w:color w:val="365F91" w:themeColor="accent1" w:themeShade="BF"/>
      <w:sz w:val="28"/>
      <w:szCs w:val="45"/>
    </w:rPr>
  </w:style>
  <w:style w:type="paragraph" w:styleId="Heading2">
    <w:name w:val="heading 2"/>
    <w:basedOn w:val="Normal"/>
    <w:next w:val="Normal"/>
    <w:link w:val="Heading2Char"/>
    <w:uiPriority w:val="9"/>
    <w:unhideWhenUsed/>
    <w:qFormat/>
    <w:rsid w:val="005D2AAD"/>
    <w:pPr>
      <w:keepNext/>
      <w:keepLines/>
      <w:spacing w:before="200" w:after="0"/>
      <w:outlineLvl w:val="1"/>
    </w:pPr>
    <w:rPr>
      <w:rFonts w:asciiTheme="majorHAnsi" w:eastAsiaTheme="majorEastAsia" w:hAnsiTheme="majorHAnsi" w:cstheme="majorBidi"/>
      <w:b/>
      <w:bCs/>
      <w:color w:val="4F81BD" w:themeColor="accent1"/>
      <w:sz w:val="26"/>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AAD"/>
    <w:rPr>
      <w:rFonts w:asciiTheme="majorHAnsi" w:eastAsiaTheme="majorEastAsia" w:hAnsiTheme="majorHAnsi" w:cstheme="majorBidi"/>
      <w:b/>
      <w:bCs/>
      <w:color w:val="365F91" w:themeColor="accent1" w:themeShade="BF"/>
      <w:sz w:val="28"/>
      <w:szCs w:val="45"/>
    </w:rPr>
  </w:style>
  <w:style w:type="character" w:customStyle="1" w:styleId="Heading2Char">
    <w:name w:val="Heading 2 Char"/>
    <w:basedOn w:val="DefaultParagraphFont"/>
    <w:link w:val="Heading2"/>
    <w:uiPriority w:val="9"/>
    <w:rsid w:val="005D2AAD"/>
    <w:rPr>
      <w:rFonts w:asciiTheme="majorHAnsi" w:eastAsiaTheme="majorEastAsia" w:hAnsiTheme="majorHAnsi" w:cstheme="majorBidi"/>
      <w:b/>
      <w:bCs/>
      <w:color w:val="4F81BD" w:themeColor="accent1"/>
      <w:sz w:val="26"/>
      <w:szCs w:val="42"/>
    </w:rPr>
  </w:style>
  <w:style w:type="paragraph" w:styleId="FootnoteText">
    <w:name w:val="footnote text"/>
    <w:basedOn w:val="Normal"/>
    <w:link w:val="FootnoteTextChar"/>
    <w:uiPriority w:val="99"/>
    <w:semiHidden/>
    <w:unhideWhenUsed/>
    <w:rsid w:val="00374FF6"/>
    <w:pPr>
      <w:spacing w:after="0" w:line="240" w:lineRule="auto"/>
    </w:pPr>
    <w:rPr>
      <w:sz w:val="20"/>
      <w:szCs w:val="32"/>
    </w:rPr>
  </w:style>
  <w:style w:type="character" w:customStyle="1" w:styleId="FootnoteTextChar">
    <w:name w:val="Footnote Text Char"/>
    <w:basedOn w:val="DefaultParagraphFont"/>
    <w:link w:val="FootnoteText"/>
    <w:uiPriority w:val="99"/>
    <w:semiHidden/>
    <w:rsid w:val="00374FF6"/>
    <w:rPr>
      <w:sz w:val="20"/>
      <w:szCs w:val="32"/>
    </w:rPr>
  </w:style>
  <w:style w:type="character" w:styleId="FootnoteReference">
    <w:name w:val="footnote reference"/>
    <w:basedOn w:val="DefaultParagraphFont"/>
    <w:uiPriority w:val="99"/>
    <w:semiHidden/>
    <w:unhideWhenUsed/>
    <w:rsid w:val="00374FF6"/>
    <w:rPr>
      <w:vertAlign w:val="superscript"/>
    </w:rPr>
  </w:style>
  <w:style w:type="character" w:styleId="CommentReference">
    <w:name w:val="annotation reference"/>
    <w:basedOn w:val="DefaultParagraphFont"/>
    <w:uiPriority w:val="99"/>
    <w:semiHidden/>
    <w:unhideWhenUsed/>
    <w:rsid w:val="008A6473"/>
    <w:rPr>
      <w:sz w:val="16"/>
      <w:szCs w:val="16"/>
    </w:rPr>
  </w:style>
  <w:style w:type="paragraph" w:styleId="CommentText">
    <w:name w:val="annotation text"/>
    <w:basedOn w:val="Normal"/>
    <w:link w:val="CommentTextChar"/>
    <w:uiPriority w:val="99"/>
    <w:semiHidden/>
    <w:unhideWhenUsed/>
    <w:rsid w:val="008A6473"/>
    <w:pPr>
      <w:spacing w:line="240" w:lineRule="auto"/>
    </w:pPr>
    <w:rPr>
      <w:sz w:val="20"/>
      <w:szCs w:val="32"/>
    </w:rPr>
  </w:style>
  <w:style w:type="character" w:customStyle="1" w:styleId="CommentTextChar">
    <w:name w:val="Comment Text Char"/>
    <w:basedOn w:val="DefaultParagraphFont"/>
    <w:link w:val="CommentText"/>
    <w:uiPriority w:val="99"/>
    <w:semiHidden/>
    <w:rsid w:val="008A6473"/>
    <w:rPr>
      <w:sz w:val="20"/>
      <w:szCs w:val="32"/>
    </w:rPr>
  </w:style>
  <w:style w:type="paragraph" w:styleId="CommentSubject">
    <w:name w:val="annotation subject"/>
    <w:basedOn w:val="CommentText"/>
    <w:next w:val="CommentText"/>
    <w:link w:val="CommentSubjectChar"/>
    <w:uiPriority w:val="99"/>
    <w:semiHidden/>
    <w:unhideWhenUsed/>
    <w:rsid w:val="008A6473"/>
    <w:rPr>
      <w:b/>
      <w:bCs/>
    </w:rPr>
  </w:style>
  <w:style w:type="character" w:customStyle="1" w:styleId="CommentSubjectChar">
    <w:name w:val="Comment Subject Char"/>
    <w:basedOn w:val="CommentTextChar"/>
    <w:link w:val="CommentSubject"/>
    <w:uiPriority w:val="99"/>
    <w:semiHidden/>
    <w:rsid w:val="008A6473"/>
    <w:rPr>
      <w:b/>
      <w:bCs/>
      <w:sz w:val="20"/>
      <w:szCs w:val="32"/>
    </w:rPr>
  </w:style>
  <w:style w:type="paragraph" w:styleId="BalloonText">
    <w:name w:val="Balloon Text"/>
    <w:basedOn w:val="Normal"/>
    <w:link w:val="BalloonTextChar"/>
    <w:uiPriority w:val="99"/>
    <w:semiHidden/>
    <w:unhideWhenUsed/>
    <w:rsid w:val="008A6473"/>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8A6473"/>
    <w:rPr>
      <w:rFonts w:ascii="Tahoma" w:hAnsi="Tahoma" w:cs="Tahoma"/>
      <w:sz w:val="16"/>
      <w:szCs w:val="26"/>
    </w:rPr>
  </w:style>
  <w:style w:type="paragraph" w:styleId="TOCHeading">
    <w:name w:val="TOC Heading"/>
    <w:basedOn w:val="Heading1"/>
    <w:next w:val="Normal"/>
    <w:uiPriority w:val="39"/>
    <w:semiHidden/>
    <w:unhideWhenUsed/>
    <w:qFormat/>
    <w:rsid w:val="007B34B1"/>
    <w:pPr>
      <w:outlineLvl w:val="9"/>
    </w:pPr>
    <w:rPr>
      <w:szCs w:val="28"/>
      <w:lang w:eastAsia="ja-JP" w:bidi="ar-SA"/>
    </w:rPr>
  </w:style>
  <w:style w:type="paragraph" w:styleId="TOC1">
    <w:name w:val="toc 1"/>
    <w:basedOn w:val="Normal"/>
    <w:next w:val="Normal"/>
    <w:autoRedefine/>
    <w:uiPriority w:val="39"/>
    <w:unhideWhenUsed/>
    <w:rsid w:val="007B34B1"/>
    <w:pPr>
      <w:spacing w:after="100"/>
    </w:pPr>
  </w:style>
  <w:style w:type="paragraph" w:styleId="TOC2">
    <w:name w:val="toc 2"/>
    <w:basedOn w:val="Normal"/>
    <w:next w:val="Normal"/>
    <w:autoRedefine/>
    <w:uiPriority w:val="39"/>
    <w:unhideWhenUsed/>
    <w:rsid w:val="007B34B1"/>
    <w:pPr>
      <w:spacing w:after="100"/>
      <w:ind w:left="220"/>
    </w:pPr>
  </w:style>
  <w:style w:type="character" w:styleId="Hyperlink">
    <w:name w:val="Hyperlink"/>
    <w:basedOn w:val="DefaultParagraphFont"/>
    <w:uiPriority w:val="99"/>
    <w:unhideWhenUsed/>
    <w:rsid w:val="007B34B1"/>
    <w:rPr>
      <w:color w:val="0000FF" w:themeColor="hyperlink"/>
      <w:u w:val="single"/>
    </w:rPr>
  </w:style>
  <w:style w:type="paragraph" w:styleId="Title">
    <w:name w:val="Title"/>
    <w:basedOn w:val="Normal"/>
    <w:next w:val="Normal"/>
    <w:link w:val="TitleChar"/>
    <w:uiPriority w:val="10"/>
    <w:qFormat/>
    <w:rsid w:val="007B34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85"/>
    </w:rPr>
  </w:style>
  <w:style w:type="character" w:customStyle="1" w:styleId="TitleChar">
    <w:name w:val="Title Char"/>
    <w:basedOn w:val="DefaultParagraphFont"/>
    <w:link w:val="Title"/>
    <w:uiPriority w:val="10"/>
    <w:rsid w:val="007B34B1"/>
    <w:rPr>
      <w:rFonts w:asciiTheme="majorHAnsi" w:eastAsiaTheme="majorEastAsia" w:hAnsiTheme="majorHAnsi" w:cstheme="majorBidi"/>
      <w:color w:val="17365D" w:themeColor="text2" w:themeShade="BF"/>
      <w:spacing w:val="5"/>
      <w:kern w:val="28"/>
      <w:sz w:val="52"/>
      <w:szCs w:val="85"/>
    </w:rPr>
  </w:style>
  <w:style w:type="paragraph" w:styleId="Date">
    <w:name w:val="Date"/>
    <w:basedOn w:val="Normal"/>
    <w:next w:val="Normal"/>
    <w:link w:val="DateChar"/>
    <w:uiPriority w:val="99"/>
    <w:semiHidden/>
    <w:unhideWhenUsed/>
    <w:rsid w:val="00151008"/>
  </w:style>
  <w:style w:type="character" w:customStyle="1" w:styleId="DateChar">
    <w:name w:val="Date Char"/>
    <w:basedOn w:val="DefaultParagraphFont"/>
    <w:link w:val="Date"/>
    <w:uiPriority w:val="99"/>
    <w:semiHidden/>
    <w:rsid w:val="00151008"/>
  </w:style>
  <w:style w:type="paragraph" w:styleId="ListParagraph">
    <w:name w:val="List Paragraph"/>
    <w:basedOn w:val="Normal"/>
    <w:uiPriority w:val="34"/>
    <w:qFormat/>
    <w:rsid w:val="000C1E14"/>
    <w:pPr>
      <w:ind w:left="720"/>
      <w:contextualSpacing/>
    </w:pPr>
  </w:style>
  <w:style w:type="paragraph" w:styleId="Caption">
    <w:name w:val="caption"/>
    <w:basedOn w:val="Normal"/>
    <w:next w:val="Normal"/>
    <w:uiPriority w:val="35"/>
    <w:unhideWhenUsed/>
    <w:qFormat/>
    <w:rsid w:val="00267760"/>
    <w:pPr>
      <w:spacing w:line="240" w:lineRule="auto"/>
    </w:pPr>
    <w:rPr>
      <w:b/>
      <w:bCs/>
      <w:color w:val="4F81BD" w:themeColor="accent1"/>
      <w:sz w:val="18"/>
      <w:szCs w:val="29"/>
    </w:rPr>
  </w:style>
  <w:style w:type="paragraph" w:styleId="Header">
    <w:name w:val="header"/>
    <w:basedOn w:val="Normal"/>
    <w:link w:val="HeaderChar"/>
    <w:uiPriority w:val="99"/>
    <w:unhideWhenUsed/>
    <w:rsid w:val="00C0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D0B"/>
  </w:style>
  <w:style w:type="paragraph" w:styleId="Footer">
    <w:name w:val="footer"/>
    <w:basedOn w:val="Normal"/>
    <w:link w:val="FooterChar"/>
    <w:uiPriority w:val="99"/>
    <w:unhideWhenUsed/>
    <w:rsid w:val="00C0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conkle\Google%20Drive\CURRENT\malnutrition%20scale%20up\2012%20SAM%20DATABAS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conkle\Google%20Drive\CURRENT\malnutrition%20scale%20up\2012%20SAM%20DATABAS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conkle\Google%20Drive\CURRENT\malnutrition%20scale%20up\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[2012 SAM DATABASE.xlsx]Sheet4!PivotTable1</c:name>
    <c:fmtId val="-1"/>
  </c:pivotSource>
  <c:chart>
    <c:title>
      <c:tx>
        <c:rich>
          <a:bodyPr/>
          <a:lstStyle/>
          <a:p>
            <a:pPr>
              <a:defRPr sz="1200"/>
            </a:pPr>
            <a:r>
              <a:rPr lang="en-US" sz="1200"/>
              <a:t>Number of Hospitals</a:t>
            </a:r>
            <a:r>
              <a:rPr lang="en-US" sz="1200" baseline="0"/>
              <a:t> with Pediatric Service with Therapeutic Feeding for Severe Acute Malnutrition</a:t>
            </a:r>
            <a:endParaRPr lang="en-US" sz="1200"/>
          </a:p>
        </c:rich>
      </c:tx>
      <c:overlay val="0"/>
    </c:title>
    <c:autoTitleDeleted val="0"/>
    <c:pivotFmts>
      <c:pivotFmt>
        <c:idx val="0"/>
        <c:marker>
          <c:symbol val="none"/>
        </c:marker>
      </c:pivotFmt>
      <c:pivotFmt>
        <c:idx val="1"/>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2"/>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3"/>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s>
    <c:plotArea>
      <c:layout/>
      <c:barChart>
        <c:barDir val="col"/>
        <c:grouping val="clustered"/>
        <c:varyColors val="0"/>
        <c:ser>
          <c:idx val="0"/>
          <c:order val="0"/>
          <c:tx>
            <c:strRef>
              <c:f>Sheet4!$B$1</c:f>
              <c:strCache>
                <c:ptCount val="1"/>
                <c:pt idx="0">
                  <c:v>Total</c:v>
                </c:pt>
              </c:strCache>
            </c:strRef>
          </c:tx>
          <c:invertIfNegative val="0"/>
          <c:cat>
            <c:strRef>
              <c:f>Sheet4!$A$2:$A$8</c:f>
              <c:strCache>
                <c:ptCount val="6"/>
                <c:pt idx="0">
                  <c:v>2007</c:v>
                </c:pt>
                <c:pt idx="1">
                  <c:v>2008</c:v>
                </c:pt>
                <c:pt idx="2">
                  <c:v>2009</c:v>
                </c:pt>
                <c:pt idx="3">
                  <c:v>2010</c:v>
                </c:pt>
                <c:pt idx="4">
                  <c:v>2011</c:v>
                </c:pt>
                <c:pt idx="5">
                  <c:v>2012</c:v>
                </c:pt>
              </c:strCache>
            </c:strRef>
          </c:cat>
          <c:val>
            <c:numRef>
              <c:f>Sheet4!$B$2:$B$8</c:f>
              <c:numCache>
                <c:formatCode>General</c:formatCode>
                <c:ptCount val="6"/>
                <c:pt idx="0">
                  <c:v>9</c:v>
                </c:pt>
                <c:pt idx="1">
                  <c:v>15</c:v>
                </c:pt>
                <c:pt idx="2">
                  <c:v>20</c:v>
                </c:pt>
                <c:pt idx="3">
                  <c:v>29</c:v>
                </c:pt>
                <c:pt idx="4">
                  <c:v>29</c:v>
                </c:pt>
                <c:pt idx="5">
                  <c:v>32</c:v>
                </c:pt>
              </c:numCache>
            </c:numRef>
          </c:val>
        </c:ser>
        <c:dLbls>
          <c:dLblPos val="outEnd"/>
          <c:showLegendKey val="0"/>
          <c:showVal val="1"/>
          <c:showCatName val="0"/>
          <c:showSerName val="0"/>
          <c:showPercent val="0"/>
          <c:showBubbleSize val="0"/>
        </c:dLbls>
        <c:gapWidth val="150"/>
        <c:axId val="55515392"/>
        <c:axId val="55521280"/>
      </c:barChart>
      <c:catAx>
        <c:axId val="55515392"/>
        <c:scaling>
          <c:orientation val="minMax"/>
        </c:scaling>
        <c:delete val="0"/>
        <c:axPos val="b"/>
        <c:majorTickMark val="out"/>
        <c:minorTickMark val="none"/>
        <c:tickLblPos val="nextTo"/>
        <c:crossAx val="55521280"/>
        <c:crosses val="autoZero"/>
        <c:auto val="1"/>
        <c:lblAlgn val="ctr"/>
        <c:lblOffset val="100"/>
        <c:noMultiLvlLbl val="0"/>
      </c:catAx>
      <c:valAx>
        <c:axId val="55521280"/>
        <c:scaling>
          <c:orientation val="minMax"/>
        </c:scaling>
        <c:delete val="0"/>
        <c:axPos val="l"/>
        <c:majorGridlines/>
        <c:numFmt formatCode="General" sourceLinked="1"/>
        <c:majorTickMark val="out"/>
        <c:minorTickMark val="none"/>
        <c:tickLblPos val="nextTo"/>
        <c:crossAx val="55515392"/>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[2012 SAM DATABASE.xlsx]Sheet5!PivotTable2</c:name>
    <c:fmtId val="-1"/>
  </c:pivotSource>
  <c:chart>
    <c:title>
      <c:tx>
        <c:rich>
          <a:bodyPr/>
          <a:lstStyle/>
          <a:p>
            <a:pPr>
              <a:defRPr sz="1100"/>
            </a:pPr>
            <a:r>
              <a:rPr lang="en-US" sz="1100"/>
              <a:t>Number of children treated for severe acute malnutrition in hospital in semester I by year, NNP Monitoring</a:t>
            </a:r>
          </a:p>
        </c:rich>
      </c:tx>
      <c:overlay val="0"/>
    </c:title>
    <c:autoTitleDeleted val="0"/>
    <c:pivotFmts>
      <c:pivotFmt>
        <c:idx val="0"/>
        <c:marker>
          <c:symbol val="none"/>
        </c:marker>
      </c:pivotFmt>
      <c:pivotFmt>
        <c:idx val="1"/>
        <c:marker>
          <c:symbol val="none"/>
        </c:marker>
      </c:pivotFmt>
      <c:pivotFmt>
        <c:idx val="2"/>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3"/>
        <c:marker>
          <c:symbol val="none"/>
        </c:marker>
      </c:pivotFmt>
      <c:pivotFmt>
        <c:idx val="4"/>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5"/>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s>
    <c:plotArea>
      <c:layout/>
      <c:barChart>
        <c:barDir val="col"/>
        <c:grouping val="clustered"/>
        <c:varyColors val="0"/>
        <c:ser>
          <c:idx val="0"/>
          <c:order val="0"/>
          <c:tx>
            <c:strRef>
              <c:f>Sheet5!$B$3</c:f>
              <c:strCache>
                <c:ptCount val="1"/>
                <c:pt idx="0">
                  <c:v>Total</c:v>
                </c:pt>
              </c:strCache>
            </c:strRef>
          </c:tx>
          <c:invertIfNegative val="0"/>
          <c:cat>
            <c:strRef>
              <c:f>Sheet5!$A$4:$A$9</c:f>
              <c:strCache>
                <c:ptCount val="5"/>
                <c:pt idx="0">
                  <c:v>2008</c:v>
                </c:pt>
                <c:pt idx="1">
                  <c:v>2009</c:v>
                </c:pt>
                <c:pt idx="2">
                  <c:v>2010</c:v>
                </c:pt>
                <c:pt idx="3">
                  <c:v>2011</c:v>
                </c:pt>
                <c:pt idx="4">
                  <c:v>2012</c:v>
                </c:pt>
              </c:strCache>
            </c:strRef>
          </c:cat>
          <c:val>
            <c:numRef>
              <c:f>Sheet5!$B$4:$B$9</c:f>
              <c:numCache>
                <c:formatCode>General</c:formatCode>
                <c:ptCount val="5"/>
                <c:pt idx="0">
                  <c:v>344</c:v>
                </c:pt>
                <c:pt idx="1">
                  <c:v>466</c:v>
                </c:pt>
                <c:pt idx="2">
                  <c:v>640</c:v>
                </c:pt>
                <c:pt idx="3">
                  <c:v>498</c:v>
                </c:pt>
                <c:pt idx="4">
                  <c:v>722</c:v>
                </c:pt>
              </c:numCache>
            </c:numRef>
          </c:val>
        </c:ser>
        <c:dLbls>
          <c:dLblPos val="outEnd"/>
          <c:showLegendKey val="0"/>
          <c:showVal val="1"/>
          <c:showCatName val="0"/>
          <c:showSerName val="0"/>
          <c:showPercent val="0"/>
          <c:showBubbleSize val="0"/>
        </c:dLbls>
        <c:gapWidth val="150"/>
        <c:axId val="55543296"/>
        <c:axId val="55544832"/>
      </c:barChart>
      <c:catAx>
        <c:axId val="55543296"/>
        <c:scaling>
          <c:orientation val="minMax"/>
        </c:scaling>
        <c:delete val="0"/>
        <c:axPos val="b"/>
        <c:majorTickMark val="out"/>
        <c:minorTickMark val="none"/>
        <c:tickLblPos val="nextTo"/>
        <c:crossAx val="55544832"/>
        <c:crosses val="autoZero"/>
        <c:auto val="1"/>
        <c:lblAlgn val="ctr"/>
        <c:lblOffset val="100"/>
        <c:noMultiLvlLbl val="0"/>
      </c:catAx>
      <c:valAx>
        <c:axId val="55544832"/>
        <c:scaling>
          <c:orientation val="minMax"/>
        </c:scaling>
        <c:delete val="0"/>
        <c:axPos val="l"/>
        <c:majorGridlines/>
        <c:numFmt formatCode="General" sourceLinked="1"/>
        <c:majorTickMark val="out"/>
        <c:minorTickMark val="none"/>
        <c:tickLblPos val="nextTo"/>
        <c:crossAx val="55543296"/>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pivotSource>
    <c:name>[New Microsoft Excel Worksheet.xlsx]Sheet4!PivotTable1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s>
    <c:plotArea>
      <c:layout/>
      <c:barChart>
        <c:barDir val="col"/>
        <c:grouping val="stacked"/>
        <c:varyColors val="0"/>
        <c:ser>
          <c:idx val="0"/>
          <c:order val="0"/>
          <c:tx>
            <c:strRef>
              <c:f>Sheet4!$B$1:$B$2</c:f>
              <c:strCache>
                <c:ptCount val="1"/>
                <c:pt idx="0">
                  <c:v>supply</c:v>
                </c:pt>
              </c:strCache>
            </c:strRef>
          </c:tx>
          <c:invertIfNegative val="0"/>
          <c:cat>
            <c:strRef>
              <c:f>Sheet4!$A$3:$A$6</c:f>
              <c:strCache>
                <c:ptCount val="3"/>
                <c:pt idx="0">
                  <c:v>2013</c:v>
                </c:pt>
                <c:pt idx="1">
                  <c:v>2014</c:v>
                </c:pt>
                <c:pt idx="2">
                  <c:v>2015</c:v>
                </c:pt>
              </c:strCache>
            </c:strRef>
          </c:cat>
          <c:val>
            <c:numRef>
              <c:f>Sheet4!$B$3:$B$6</c:f>
              <c:numCache>
                <c:formatCode>General</c:formatCode>
                <c:ptCount val="3"/>
                <c:pt idx="0">
                  <c:v>175125</c:v>
                </c:pt>
                <c:pt idx="1">
                  <c:v>240211</c:v>
                </c:pt>
                <c:pt idx="2">
                  <c:v>259604</c:v>
                </c:pt>
              </c:numCache>
            </c:numRef>
          </c:val>
        </c:ser>
        <c:ser>
          <c:idx val="1"/>
          <c:order val="1"/>
          <c:tx>
            <c:strRef>
              <c:f>Sheet4!$C$1:$C$2</c:f>
              <c:strCache>
                <c:ptCount val="1"/>
                <c:pt idx="0">
                  <c:v>overhead</c:v>
                </c:pt>
              </c:strCache>
            </c:strRef>
          </c:tx>
          <c:invertIfNegative val="0"/>
          <c:cat>
            <c:strRef>
              <c:f>Sheet4!$A$3:$A$6</c:f>
              <c:strCache>
                <c:ptCount val="3"/>
                <c:pt idx="0">
                  <c:v>2013</c:v>
                </c:pt>
                <c:pt idx="1">
                  <c:v>2014</c:v>
                </c:pt>
                <c:pt idx="2">
                  <c:v>2015</c:v>
                </c:pt>
              </c:strCache>
            </c:strRef>
          </c:cat>
          <c:val>
            <c:numRef>
              <c:f>Sheet4!$C$3:$C$6</c:f>
              <c:numCache>
                <c:formatCode>General</c:formatCode>
                <c:ptCount val="3"/>
                <c:pt idx="0">
                  <c:v>43000</c:v>
                </c:pt>
                <c:pt idx="1">
                  <c:v>64500</c:v>
                </c:pt>
                <c:pt idx="2">
                  <c:v>73100</c:v>
                </c:pt>
              </c:numCache>
            </c:numRef>
          </c:val>
        </c:ser>
        <c:ser>
          <c:idx val="2"/>
          <c:order val="2"/>
          <c:tx>
            <c:strRef>
              <c:f>Sheet4!$D$1:$D$2</c:f>
              <c:strCache>
                <c:ptCount val="1"/>
                <c:pt idx="0">
                  <c:v>training</c:v>
                </c:pt>
              </c:strCache>
            </c:strRef>
          </c:tx>
          <c:invertIfNegative val="0"/>
          <c:cat>
            <c:strRef>
              <c:f>Sheet4!$A$3:$A$6</c:f>
              <c:strCache>
                <c:ptCount val="3"/>
                <c:pt idx="0">
                  <c:v>2013</c:v>
                </c:pt>
                <c:pt idx="1">
                  <c:v>2014</c:v>
                </c:pt>
                <c:pt idx="2">
                  <c:v>2015</c:v>
                </c:pt>
              </c:strCache>
            </c:strRef>
          </c:cat>
          <c:val>
            <c:numRef>
              <c:f>Sheet4!$D$3:$D$6</c:f>
              <c:numCache>
                <c:formatCode>General</c:formatCode>
                <c:ptCount val="3"/>
                <c:pt idx="0">
                  <c:v>46000</c:v>
                </c:pt>
                <c:pt idx="1">
                  <c:v>5000</c:v>
                </c:pt>
                <c:pt idx="2">
                  <c:v>53000</c:v>
                </c:pt>
              </c:numCache>
            </c:numRef>
          </c:val>
        </c:ser>
        <c:dLbls>
          <c:showLegendKey val="0"/>
          <c:showVal val="0"/>
          <c:showCatName val="0"/>
          <c:showSerName val="0"/>
          <c:showPercent val="0"/>
          <c:showBubbleSize val="0"/>
        </c:dLbls>
        <c:gapWidth val="150"/>
        <c:overlap val="100"/>
        <c:axId val="55567104"/>
        <c:axId val="55568640"/>
      </c:barChart>
      <c:catAx>
        <c:axId val="55567104"/>
        <c:scaling>
          <c:orientation val="minMax"/>
        </c:scaling>
        <c:delete val="0"/>
        <c:axPos val="b"/>
        <c:majorTickMark val="out"/>
        <c:minorTickMark val="none"/>
        <c:tickLblPos val="nextTo"/>
        <c:crossAx val="55568640"/>
        <c:crosses val="autoZero"/>
        <c:auto val="1"/>
        <c:lblAlgn val="ctr"/>
        <c:lblOffset val="100"/>
        <c:noMultiLvlLbl val="0"/>
      </c:catAx>
      <c:valAx>
        <c:axId val="55568640"/>
        <c:scaling>
          <c:orientation val="minMax"/>
        </c:scaling>
        <c:delete val="0"/>
        <c:axPos val="l"/>
        <c:majorGridlines/>
        <c:numFmt formatCode="General" sourceLinked="1"/>
        <c:majorTickMark val="out"/>
        <c:minorTickMark val="none"/>
        <c:tickLblPos val="nextTo"/>
        <c:crossAx val="55567104"/>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CC75-8F0A-4003-B460-B5B21776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20</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Conkle</dc:creator>
  <cp:lastModifiedBy>Joel Conkle</cp:lastModifiedBy>
  <cp:revision>27</cp:revision>
  <dcterms:created xsi:type="dcterms:W3CDTF">2012-11-01T03:18:00Z</dcterms:created>
  <dcterms:modified xsi:type="dcterms:W3CDTF">2013-07-05T02:36:00Z</dcterms:modified>
</cp:coreProperties>
</file>