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EB" w:rsidRPr="007D37EB" w:rsidRDefault="00E0570D" w:rsidP="00CA55B9">
      <w:pPr>
        <w:rPr>
          <w:i/>
          <w:iCs/>
        </w:rPr>
      </w:pPr>
      <w:proofErr w:type="gramStart"/>
      <w:r>
        <w:rPr>
          <w:i/>
          <w:iCs/>
        </w:rPr>
        <w:t>Accompanied by fact sheet on Early Childhood Nutrition.</w:t>
      </w:r>
      <w:proofErr w:type="gramEnd"/>
      <w:r>
        <w:rPr>
          <w:i/>
          <w:iCs/>
        </w:rPr>
        <w:t xml:space="preserve"> </w:t>
      </w:r>
      <w:proofErr w:type="gramStart"/>
      <w:r>
        <w:rPr>
          <w:i/>
          <w:iCs/>
        </w:rPr>
        <w:t>Updated with Secondary Analysis of Cambodia Demographic and Health Surveys 2000-2010</w:t>
      </w:r>
      <w:r w:rsidR="00572DA1">
        <w:rPr>
          <w:i/>
          <w:iCs/>
        </w:rPr>
        <w:t>.</w:t>
      </w:r>
      <w:proofErr w:type="gramEnd"/>
    </w:p>
    <w:p w:rsidR="001D10B5" w:rsidRDefault="001D10B5" w:rsidP="00422099">
      <w:pPr>
        <w:pStyle w:val="Heading2"/>
        <w:spacing w:before="0" w:after="120"/>
      </w:pPr>
    </w:p>
    <w:p w:rsidR="00624BED" w:rsidRDefault="00624BED" w:rsidP="00422099">
      <w:pPr>
        <w:pStyle w:val="Heading2"/>
        <w:spacing w:before="0" w:after="120"/>
      </w:pPr>
      <w:r>
        <w:t>N</w:t>
      </w:r>
      <w:r w:rsidR="005115B1">
        <w:t>ational Level</w:t>
      </w:r>
      <w:r>
        <w:t xml:space="preserve"> Outcomes</w:t>
      </w:r>
    </w:p>
    <w:p w:rsidR="001B609F" w:rsidRDefault="003822BB" w:rsidP="00F90848">
      <w:r>
        <w:rPr>
          <w:noProof/>
          <w:lang w:eastAsia="ko-KR"/>
        </w:rPr>
        <w:drawing>
          <wp:anchor distT="0" distB="0" distL="114300" distR="114300" simplePos="0" relativeHeight="251665408" behindDoc="0" locked="0" layoutInCell="1" allowOverlap="1">
            <wp:simplePos x="0" y="0"/>
            <wp:positionH relativeFrom="margin">
              <wp:posOffset>2985135</wp:posOffset>
            </wp:positionH>
            <wp:positionV relativeFrom="margin">
              <wp:posOffset>1868805</wp:posOffset>
            </wp:positionV>
            <wp:extent cx="2984500" cy="2018030"/>
            <wp:effectExtent l="0" t="0" r="25400" b="2032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6F71A5">
        <w:t>M</w:t>
      </w:r>
      <w:r w:rsidR="00947FD0" w:rsidRPr="0094513D">
        <w:t xml:space="preserve">alnutrition is </w:t>
      </w:r>
      <w:r w:rsidR="006F71A5">
        <w:t>considered the underlying cause in 20% of maternal deaths</w:t>
      </w:r>
      <w:r w:rsidR="009C74B2">
        <w:t xml:space="preserve"> (Lancet 2008)</w:t>
      </w:r>
      <w:r w:rsidR="006F71A5">
        <w:t>, accounting for nearly 300 maternal</w:t>
      </w:r>
      <w:r w:rsidR="00947FD0" w:rsidRPr="0094513D">
        <w:t xml:space="preserve"> deaths</w:t>
      </w:r>
      <w:r w:rsidR="00FE19BF">
        <w:t xml:space="preserve"> annually</w:t>
      </w:r>
      <w:r w:rsidR="006F71A5">
        <w:t xml:space="preserve"> in Cambodia.</w:t>
      </w:r>
      <w:r w:rsidR="00F062C7">
        <w:t xml:space="preserve"> </w:t>
      </w:r>
      <w:r w:rsidR="005A17F6">
        <w:t>Considering m</w:t>
      </w:r>
      <w:r w:rsidR="009C74B2">
        <w:t>aternal malnutrition</w:t>
      </w:r>
      <w:r w:rsidR="00F062C7">
        <w:t xml:space="preserve"> </w:t>
      </w:r>
      <w:r w:rsidR="000E5C09">
        <w:t xml:space="preserve">has health and economic consequences </w:t>
      </w:r>
      <w:r w:rsidR="00AF3170">
        <w:t>for the mother and child</w:t>
      </w:r>
      <w:r w:rsidR="000E5C09">
        <w:t xml:space="preserve">, </w:t>
      </w:r>
      <w:r w:rsidR="005A17F6">
        <w:t>attention to the topic is inadequate</w:t>
      </w:r>
      <w:r w:rsidR="000E5C09">
        <w:t>.</w:t>
      </w:r>
    </w:p>
    <w:p w:rsidR="00422099" w:rsidRDefault="00422099" w:rsidP="00F90848">
      <w:pPr>
        <w:sectPr w:rsidR="00422099" w:rsidSect="003850EE">
          <w:head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C07AC" w:rsidRDefault="006F71A5" w:rsidP="003C01CF">
      <w:pPr>
        <w:numPr>
          <w:ilvl w:val="0"/>
          <w:numId w:val="2"/>
        </w:numPr>
        <w:tabs>
          <w:tab w:val="left" w:pos="4320"/>
        </w:tabs>
        <w:spacing w:after="40"/>
        <w:rPr>
          <w:b/>
        </w:rPr>
      </w:pPr>
      <w:r>
        <w:rPr>
          <w:b/>
        </w:rPr>
        <w:lastRenderedPageBreak/>
        <w:t xml:space="preserve">Cambodia is </w:t>
      </w:r>
      <w:r w:rsidR="009938CF" w:rsidRPr="000E5C09">
        <w:rPr>
          <w:b/>
        </w:rPr>
        <w:t xml:space="preserve">off-track for CMDG and NSDP targets for </w:t>
      </w:r>
      <w:r>
        <w:rPr>
          <w:b/>
        </w:rPr>
        <w:t xml:space="preserve">maternal </w:t>
      </w:r>
      <w:r w:rsidR="00BC07AC">
        <w:rPr>
          <w:b/>
        </w:rPr>
        <w:t>nutrition</w:t>
      </w:r>
    </w:p>
    <w:p w:rsidR="00BC07AC" w:rsidRPr="001B609F" w:rsidRDefault="00BC07AC" w:rsidP="00BC07AC">
      <w:pPr>
        <w:numPr>
          <w:ilvl w:val="0"/>
          <w:numId w:val="2"/>
        </w:numPr>
        <w:tabs>
          <w:tab w:val="left" w:pos="4320"/>
        </w:tabs>
        <w:spacing w:after="40"/>
      </w:pPr>
      <w:r>
        <w:t>Around 1 of 5 women have low body mass index, and this has not changed since 2005. The CMDG target for 2015 is 8%.</w:t>
      </w:r>
    </w:p>
    <w:p w:rsidR="003C01CF" w:rsidRPr="00BC07AC" w:rsidRDefault="00BC07AC" w:rsidP="00BC07AC">
      <w:pPr>
        <w:numPr>
          <w:ilvl w:val="0"/>
          <w:numId w:val="2"/>
        </w:numPr>
        <w:tabs>
          <w:tab w:val="left" w:pos="4320"/>
        </w:tabs>
        <w:spacing w:after="40"/>
        <w:rPr>
          <w:b/>
        </w:rPr>
      </w:pPr>
      <w:r>
        <w:rPr>
          <w:bCs/>
        </w:rPr>
        <w:t>In</w:t>
      </w:r>
      <w:r w:rsidR="003C01CF">
        <w:rPr>
          <w:b/>
        </w:rPr>
        <w:t xml:space="preserve"> </w:t>
      </w:r>
      <w:r w:rsidR="001B609F" w:rsidRPr="001B609F">
        <w:t>2010</w:t>
      </w:r>
      <w:r>
        <w:t xml:space="preserve"> the anemia</w:t>
      </w:r>
      <w:r w:rsidR="001B609F" w:rsidRPr="001B609F">
        <w:t xml:space="preserve"> </w:t>
      </w:r>
      <w:r w:rsidR="006F71A5">
        <w:t>rate of</w:t>
      </w:r>
      <w:r>
        <w:t xml:space="preserve"> women is</w:t>
      </w:r>
      <w:r w:rsidR="006F71A5">
        <w:t xml:space="preserve"> 44%</w:t>
      </w:r>
      <w:r>
        <w:t xml:space="preserve">, </w:t>
      </w:r>
      <w:r w:rsidR="006F71A5">
        <w:t>12 percentage points higher than the 2010 target and 25 points higher than the 2015 target.</w:t>
      </w:r>
    </w:p>
    <w:p w:rsidR="00BC07AC" w:rsidRPr="00BC07AC" w:rsidRDefault="00BC07AC" w:rsidP="00BC07AC">
      <w:pPr>
        <w:numPr>
          <w:ilvl w:val="0"/>
          <w:numId w:val="2"/>
        </w:numPr>
        <w:tabs>
          <w:tab w:val="left" w:pos="4320"/>
        </w:tabs>
        <w:spacing w:after="40"/>
        <w:rPr>
          <w:b/>
        </w:rPr>
      </w:pPr>
      <w:r>
        <w:t>Anemia among pregnant women has decreased 4 percentage points in the last five years, but the current rate of 53% is well above the 2010 CMDG target of 39%.</w:t>
      </w:r>
    </w:p>
    <w:p w:rsidR="00BC07AC" w:rsidRPr="00BC07AC" w:rsidRDefault="00BC07AC" w:rsidP="00BC07AC">
      <w:pPr>
        <w:tabs>
          <w:tab w:val="left" w:pos="4320"/>
        </w:tabs>
        <w:spacing w:after="40"/>
        <w:ind w:left="720"/>
        <w:rPr>
          <w:b/>
        </w:rPr>
      </w:pPr>
    </w:p>
    <w:p w:rsidR="00500AB5" w:rsidRDefault="00D66DAD" w:rsidP="00BC07AC">
      <w:pPr>
        <w:pStyle w:val="ListParagraph"/>
        <w:numPr>
          <w:ilvl w:val="0"/>
          <w:numId w:val="2"/>
        </w:numPr>
        <w:spacing w:after="40"/>
      </w:pPr>
      <w:r>
        <w:rPr>
          <w:bCs/>
        </w:rPr>
        <w:t xml:space="preserve">6% </w:t>
      </w:r>
      <w:r w:rsidR="009B57DC">
        <w:rPr>
          <w:bCs/>
        </w:rPr>
        <w:t>of women have a height of less than 145 cm, which indicates they were malnourished as children. These women are also likely to give birth to small children.</w:t>
      </w:r>
    </w:p>
    <w:p w:rsidR="00500AB5" w:rsidRDefault="00BC07AC" w:rsidP="00BC07AC">
      <w:pPr>
        <w:pStyle w:val="ListParagraph"/>
        <w:numPr>
          <w:ilvl w:val="0"/>
          <w:numId w:val="2"/>
        </w:numPr>
        <w:spacing w:after="40"/>
      </w:pPr>
      <w:r>
        <w:t>At 8%, the percent</w:t>
      </w:r>
      <w:r w:rsidR="00500AB5">
        <w:t xml:space="preserve"> of babies born with a low birth weight</w:t>
      </w:r>
      <w:r>
        <w:t xml:space="preserve"> has not changed since 2005</w:t>
      </w:r>
      <w:r w:rsidR="00500AB5">
        <w:t>; these children are likely</w:t>
      </w:r>
      <w:r>
        <w:t xml:space="preserve"> to be</w:t>
      </w:r>
      <w:r w:rsidR="00500AB5">
        <w:t xml:space="preserve"> iron deficient and have a high</w:t>
      </w:r>
      <w:r w:rsidR="00971E75">
        <w:t>er</w:t>
      </w:r>
      <w:r w:rsidR="00500AB5">
        <w:t xml:space="preserve"> risk of death</w:t>
      </w:r>
    </w:p>
    <w:p w:rsidR="00085866" w:rsidRDefault="00085866" w:rsidP="00085866">
      <w:pPr>
        <w:ind w:left="-90"/>
        <w:rPr>
          <w:b/>
          <w:bCs/>
        </w:rPr>
      </w:pPr>
    </w:p>
    <w:p w:rsidR="00085866" w:rsidRDefault="00085866" w:rsidP="00085866">
      <w:pPr>
        <w:ind w:left="-90"/>
        <w:rPr>
          <w:b/>
          <w:bCs/>
        </w:rPr>
      </w:pPr>
    </w:p>
    <w:p w:rsidR="007C3D4B" w:rsidRDefault="000B2111" w:rsidP="003822BB">
      <w:pPr>
        <w:spacing w:after="40"/>
      </w:pPr>
      <w:r>
        <w:rPr>
          <w:noProof/>
          <w:lang w:eastAsia="ko-KR"/>
        </w:rPr>
        <w:drawing>
          <wp:inline distT="0" distB="0" distL="0" distR="0" wp14:anchorId="444785A9" wp14:editId="46623C53">
            <wp:extent cx="2980944" cy="1920240"/>
            <wp:effectExtent l="0" t="0" r="1016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E6F52" w:rsidRPr="00FE6F52" w:rsidRDefault="00FE6F52" w:rsidP="007C3D4B">
      <w:pPr>
        <w:spacing w:after="40"/>
        <w:ind w:left="720"/>
        <w:rPr>
          <w:bCs/>
        </w:rPr>
      </w:pPr>
    </w:p>
    <w:p w:rsidR="00CA7054" w:rsidRDefault="00CA7054" w:rsidP="00CA7054">
      <w:pPr>
        <w:spacing w:after="0" w:line="240" w:lineRule="auto"/>
        <w:rPr>
          <w:b/>
        </w:rPr>
      </w:pPr>
    </w:p>
    <w:p w:rsidR="001B609F" w:rsidRDefault="001B609F" w:rsidP="00FE6F52">
      <w:pPr>
        <w:ind w:left="-90"/>
        <w:rPr>
          <w:b/>
        </w:rPr>
      </w:pPr>
    </w:p>
    <w:p w:rsidR="00CA7054" w:rsidRPr="00FE6F52" w:rsidRDefault="00CA7054" w:rsidP="00FE6F52">
      <w:pPr>
        <w:ind w:left="-90"/>
        <w:rPr>
          <w:b/>
        </w:rPr>
        <w:sectPr w:rsidR="00CA7054" w:rsidRPr="00FE6F52" w:rsidSect="001B609F">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180"/>
          <w:docGrid w:linePitch="360"/>
        </w:sectPr>
      </w:pPr>
    </w:p>
    <w:p w:rsidR="00572DA1" w:rsidRDefault="00572DA1" w:rsidP="007C3D4B">
      <w:pPr>
        <w:pStyle w:val="Heading2"/>
        <w:spacing w:before="0" w:after="120"/>
      </w:pPr>
    </w:p>
    <w:p w:rsidR="00971E75" w:rsidRDefault="00971E75" w:rsidP="007C3D4B">
      <w:pPr>
        <w:pStyle w:val="Heading2"/>
        <w:spacing w:before="0" w:after="120"/>
        <w:rPr>
          <w:rFonts w:asciiTheme="minorHAnsi" w:eastAsiaTheme="minorEastAsia" w:hAnsiTheme="minorHAnsi" w:cstheme="minorBidi"/>
          <w:b w:val="0"/>
          <w:bCs w:val="0"/>
          <w:color w:val="auto"/>
          <w:sz w:val="22"/>
          <w:szCs w:val="36"/>
        </w:rPr>
      </w:pPr>
    </w:p>
    <w:p w:rsidR="00997FFD" w:rsidRPr="00997FFD" w:rsidRDefault="00997FFD" w:rsidP="00997FFD"/>
    <w:p w:rsidR="007C3D4B" w:rsidRDefault="007C3D4B" w:rsidP="007C3D4B">
      <w:pPr>
        <w:pStyle w:val="Heading2"/>
        <w:spacing w:before="0" w:after="120"/>
      </w:pPr>
      <w:r>
        <w:lastRenderedPageBreak/>
        <w:t>A Closer Look at Outcomes</w:t>
      </w:r>
    </w:p>
    <w:p w:rsidR="00185C8D" w:rsidRDefault="00185C8D" w:rsidP="00D76606">
      <w:pPr>
        <w:spacing w:after="120" w:line="240" w:lineRule="auto"/>
        <w:rPr>
          <w:b/>
        </w:rPr>
      </w:pPr>
    </w:p>
    <w:p w:rsidR="00185C8D" w:rsidRDefault="00966D80" w:rsidP="00D76606">
      <w:pPr>
        <w:spacing w:after="120" w:line="240" w:lineRule="auto"/>
      </w:pPr>
      <w:r>
        <w:rPr>
          <w:b/>
        </w:rPr>
        <w:t xml:space="preserve">Economic growth alone does not solve malnutrition. </w:t>
      </w:r>
      <w:r w:rsidR="00990FEC">
        <w:t>Poverty is an important factor</w:t>
      </w:r>
      <w:r w:rsidR="00B5387B">
        <w:t>,</w:t>
      </w:r>
      <w:r w:rsidRPr="000E5C09">
        <w:t xml:space="preserve"> but in </w:t>
      </w:r>
      <w:r w:rsidR="00B5387B">
        <w:t>Cambodia</w:t>
      </w:r>
      <w:r w:rsidR="00990FEC">
        <w:t xml:space="preserve"> </w:t>
      </w:r>
      <w:r w:rsidRPr="000E5C09">
        <w:t xml:space="preserve">malnutrition rates remain </w:t>
      </w:r>
      <w:r w:rsidR="00990FEC">
        <w:t xml:space="preserve">at </w:t>
      </w:r>
      <w:r w:rsidR="009C74B2">
        <w:t>high</w:t>
      </w:r>
      <w:r w:rsidR="00990FEC">
        <w:t xml:space="preserve"> levels d</w:t>
      </w:r>
      <w:r w:rsidR="0015779C">
        <w:t>espite solid economic growth</w:t>
      </w:r>
      <w:r w:rsidR="00906077">
        <w:t xml:space="preserve"> and increased food consumption at the household level</w:t>
      </w:r>
      <w:r w:rsidR="0015779C">
        <w:t xml:space="preserve">. </w:t>
      </w:r>
      <w:r w:rsidR="00990FEC">
        <w:t>Malnutrition affects all income levels in Cambodia, evidence</w:t>
      </w:r>
      <w:r w:rsidR="00990FEC" w:rsidRPr="00415BCA">
        <w:t xml:space="preserve"> that </w:t>
      </w:r>
      <w:r w:rsidR="00990FEC">
        <w:t>it</w:t>
      </w:r>
      <w:r w:rsidR="00990FEC" w:rsidRPr="00415BCA">
        <w:t xml:space="preserve"> is not just a poverty issue</w:t>
      </w:r>
      <w:r w:rsidR="00990FEC">
        <w:t>.</w:t>
      </w:r>
    </w:p>
    <w:p w:rsidR="00997FFD" w:rsidRDefault="00997FFD" w:rsidP="00422099">
      <w:pPr>
        <w:pStyle w:val="ListParagraph"/>
        <w:numPr>
          <w:ilvl w:val="0"/>
          <w:numId w:val="5"/>
        </w:numPr>
        <w:spacing w:after="40" w:line="240" w:lineRule="auto"/>
      </w:pPr>
      <w:r>
        <w:t>16% of women in the richest wealth quintile have low body mass index</w:t>
      </w:r>
    </w:p>
    <w:p w:rsidR="00966D80" w:rsidRDefault="00D66DAD" w:rsidP="00422099">
      <w:pPr>
        <w:pStyle w:val="ListParagraph"/>
        <w:numPr>
          <w:ilvl w:val="0"/>
          <w:numId w:val="5"/>
        </w:numPr>
        <w:spacing w:after="40" w:line="240" w:lineRule="auto"/>
      </w:pPr>
      <w:r>
        <w:t>At 5</w:t>
      </w:r>
      <w:r w:rsidR="00997FFD">
        <w:t>3</w:t>
      </w:r>
      <w:r>
        <w:t>% anemia does disproportionately affect</w:t>
      </w:r>
      <w:r w:rsidR="00997FFD">
        <w:t xml:space="preserve"> the</w:t>
      </w:r>
      <w:r>
        <w:t xml:space="preserve"> poor</w:t>
      </w:r>
      <w:r w:rsidR="00997FFD">
        <w:t>est</w:t>
      </w:r>
      <w:r>
        <w:t xml:space="preserve"> women, but </w:t>
      </w:r>
      <w:r w:rsidR="003822BB">
        <w:t>1 out of 3</w:t>
      </w:r>
      <w:r w:rsidR="00F062C7">
        <w:t xml:space="preserve"> </w:t>
      </w:r>
      <w:r w:rsidR="003822BB">
        <w:t>women</w:t>
      </w:r>
      <w:r w:rsidR="00966D80" w:rsidRPr="00415BCA">
        <w:t xml:space="preserve"> in the richest weal</w:t>
      </w:r>
      <w:r w:rsidR="001C1C42">
        <w:t>th quintile</w:t>
      </w:r>
      <w:r w:rsidR="001B6AB6">
        <w:t xml:space="preserve"> are </w:t>
      </w:r>
      <w:r>
        <w:t xml:space="preserve">also </w:t>
      </w:r>
      <w:r w:rsidR="003822BB">
        <w:t>anemic</w:t>
      </w:r>
    </w:p>
    <w:p w:rsidR="00997FFD" w:rsidRDefault="00997FFD" w:rsidP="00997FFD">
      <w:pPr>
        <w:pStyle w:val="ListParagraph"/>
        <w:spacing w:after="40" w:line="240" w:lineRule="auto"/>
      </w:pPr>
    </w:p>
    <w:p w:rsidR="00185C8D" w:rsidRDefault="00997FFD" w:rsidP="00997FFD">
      <w:pPr>
        <w:pStyle w:val="ListParagraph"/>
        <w:spacing w:after="40" w:line="240" w:lineRule="auto"/>
        <w:jc w:val="center"/>
      </w:pPr>
      <w:r>
        <w:rPr>
          <w:noProof/>
          <w:lang w:eastAsia="ko-KR"/>
        </w:rPr>
        <w:drawing>
          <wp:inline distT="0" distB="0" distL="0" distR="0">
            <wp:extent cx="3882824" cy="215666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94137" cy="2162952"/>
                    </a:xfrm>
                    <a:prstGeom prst="rect">
                      <a:avLst/>
                    </a:prstGeom>
                    <a:noFill/>
                    <a:ln>
                      <a:noFill/>
                    </a:ln>
                  </pic:spPr>
                </pic:pic>
              </a:graphicData>
            </a:graphic>
          </wp:inline>
        </w:drawing>
      </w:r>
    </w:p>
    <w:p w:rsidR="00185C8D" w:rsidRDefault="00185C8D" w:rsidP="00185C8D">
      <w:pPr>
        <w:spacing w:after="40" w:line="240" w:lineRule="auto"/>
      </w:pPr>
    </w:p>
    <w:p w:rsidR="00D00064" w:rsidRDefault="00500AB5" w:rsidP="00997FFD">
      <w:pPr>
        <w:spacing w:after="40" w:line="240" w:lineRule="auto"/>
      </w:pPr>
      <w:r>
        <w:t>16% of women in the remote provinces of the northeast are extremely short. This is nearly three times h</w:t>
      </w:r>
      <w:r w:rsidR="00997FFD">
        <w:t>igher than the national average and is likely related to higher rates of teenage pregnancy and smoking among females in this region.</w:t>
      </w:r>
    </w:p>
    <w:p w:rsidR="00997FFD" w:rsidRPr="00D00064" w:rsidRDefault="00997FFD" w:rsidP="00997FFD">
      <w:pPr>
        <w:spacing w:after="40" w:line="240" w:lineRule="auto"/>
      </w:pPr>
    </w:p>
    <w:p w:rsidR="001F26B8" w:rsidRPr="001F26B8" w:rsidRDefault="001F26B8" w:rsidP="00095C3E">
      <w:pPr>
        <w:pStyle w:val="Heading2"/>
        <w:spacing w:before="0" w:after="120"/>
      </w:pPr>
      <w:r>
        <w:t>Consequences of Malnutrition</w:t>
      </w:r>
    </w:p>
    <w:p w:rsidR="00185C8D" w:rsidRDefault="00185C8D" w:rsidP="00185C8D">
      <w:pPr>
        <w:spacing w:after="120"/>
        <w:rPr>
          <w:b/>
        </w:rPr>
      </w:pPr>
    </w:p>
    <w:p w:rsidR="00F062C7" w:rsidRDefault="00D96F69" w:rsidP="00185C8D">
      <w:pPr>
        <w:spacing w:after="120"/>
        <w:rPr>
          <w:bCs/>
        </w:rPr>
      </w:pPr>
      <w:r>
        <w:rPr>
          <w:b/>
        </w:rPr>
        <w:t>Maternal</w:t>
      </w:r>
      <w:r w:rsidR="00422099">
        <w:rPr>
          <w:b/>
        </w:rPr>
        <w:t xml:space="preserve"> malnutrition </w:t>
      </w:r>
      <w:r w:rsidR="00990FEC">
        <w:rPr>
          <w:b/>
        </w:rPr>
        <w:t>will</w:t>
      </w:r>
      <w:r w:rsidR="00422099">
        <w:rPr>
          <w:b/>
        </w:rPr>
        <w:t xml:space="preserve"> have </w:t>
      </w:r>
      <w:r w:rsidR="00D76606">
        <w:rPr>
          <w:b/>
        </w:rPr>
        <w:t xml:space="preserve">serious long-term </w:t>
      </w:r>
      <w:r w:rsidR="00422099">
        <w:rPr>
          <w:b/>
        </w:rPr>
        <w:t xml:space="preserve">consequences for </w:t>
      </w:r>
      <w:r w:rsidR="00313444">
        <w:rPr>
          <w:b/>
        </w:rPr>
        <w:t xml:space="preserve">the health of the </w:t>
      </w:r>
      <w:r w:rsidR="00422099">
        <w:rPr>
          <w:b/>
        </w:rPr>
        <w:t>Cambodia</w:t>
      </w:r>
      <w:r w:rsidR="00313444">
        <w:rPr>
          <w:b/>
        </w:rPr>
        <w:t>n population and for its economic development</w:t>
      </w:r>
      <w:r w:rsidR="00D76606">
        <w:rPr>
          <w:b/>
        </w:rPr>
        <w:t xml:space="preserve">.  </w:t>
      </w:r>
      <w:r w:rsidR="003822BB" w:rsidRPr="003822BB">
        <w:rPr>
          <w:bCs/>
        </w:rPr>
        <w:t>Poor nutritional status at the time of conception and/or inadequate nutrition during pregnancy not only places a woman at higher risk for dying while giving birth, it has a negative impact on birth weight and early development.</w:t>
      </w:r>
      <w:r w:rsidR="009122DF">
        <w:rPr>
          <w:bCs/>
        </w:rPr>
        <w:t xml:space="preserve"> Children born to anemic mothers will also be anemic, slowing down their development and increasing their risk of mortality.</w:t>
      </w:r>
      <w:r w:rsidR="00F062C7">
        <w:rPr>
          <w:bCs/>
        </w:rPr>
        <w:t xml:space="preserve"> </w:t>
      </w:r>
      <w:r w:rsidR="005A17F6">
        <w:rPr>
          <w:bCs/>
        </w:rPr>
        <w:t>Low birth weight places a heavy financial burden on the health system and</w:t>
      </w:r>
      <w:r w:rsidR="003822BB">
        <w:rPr>
          <w:bCs/>
        </w:rPr>
        <w:t xml:space="preserve"> causes higher mortality, morbidity, and disa</w:t>
      </w:r>
      <w:r w:rsidR="007E100A">
        <w:rPr>
          <w:bCs/>
        </w:rPr>
        <w:t>bility in infancy and childhood. The financial burden on the health system is not just for treating low birth weight babies;</w:t>
      </w:r>
      <w:r w:rsidR="005A17F6">
        <w:rPr>
          <w:bCs/>
        </w:rPr>
        <w:t xml:space="preserve"> it also </w:t>
      </w:r>
      <w:r w:rsidR="007E100A">
        <w:rPr>
          <w:bCs/>
        </w:rPr>
        <w:t>includes dealing with the</w:t>
      </w:r>
      <w:r w:rsidR="005A17F6">
        <w:rPr>
          <w:bCs/>
        </w:rPr>
        <w:t xml:space="preserve"> negative impact</w:t>
      </w:r>
      <w:r w:rsidR="007E100A">
        <w:rPr>
          <w:bCs/>
        </w:rPr>
        <w:t xml:space="preserve"> of low birth weight</w:t>
      </w:r>
      <w:r w:rsidR="005A17F6">
        <w:rPr>
          <w:bCs/>
        </w:rPr>
        <w:t xml:space="preserve"> on health outcomes in adult life. </w:t>
      </w:r>
    </w:p>
    <w:p w:rsidR="00FF0A88" w:rsidRDefault="00FF0A88" w:rsidP="00185C8D">
      <w:pPr>
        <w:spacing w:after="120"/>
        <w:rPr>
          <w:bCs/>
        </w:rPr>
      </w:pPr>
    </w:p>
    <w:p w:rsidR="00FF0A88" w:rsidRDefault="00FF0A88" w:rsidP="00185C8D">
      <w:pPr>
        <w:spacing w:after="120"/>
        <w:rPr>
          <w:bCs/>
        </w:rPr>
      </w:pPr>
    </w:p>
    <w:p w:rsidR="000E66C1" w:rsidRPr="00074CB2" w:rsidRDefault="001F26B8" w:rsidP="005311AA">
      <w:r>
        <w:rPr>
          <w:rStyle w:val="Heading2Char"/>
        </w:rPr>
        <w:lastRenderedPageBreak/>
        <w:t xml:space="preserve">What </w:t>
      </w:r>
      <w:proofErr w:type="gramStart"/>
      <w:r>
        <w:rPr>
          <w:rStyle w:val="Heading2Char"/>
        </w:rPr>
        <w:t>Can</w:t>
      </w:r>
      <w:proofErr w:type="gramEnd"/>
      <w:r>
        <w:rPr>
          <w:rStyle w:val="Heading2Char"/>
        </w:rPr>
        <w:t xml:space="preserve"> be Done?</w:t>
      </w:r>
    </w:p>
    <w:p w:rsidR="0015779C" w:rsidRDefault="00664B3F" w:rsidP="009D62BA">
      <w:pPr>
        <w:rPr>
          <w:b/>
        </w:rPr>
      </w:pPr>
      <w:r>
        <w:rPr>
          <w:b/>
        </w:rPr>
        <w:t>92</w:t>
      </w:r>
      <w:r w:rsidR="009122DF">
        <w:rPr>
          <w:b/>
        </w:rPr>
        <w:t>% of pregnant women now receive</w:t>
      </w:r>
      <w:r w:rsidR="001E4AE7">
        <w:rPr>
          <w:b/>
        </w:rPr>
        <w:t xml:space="preserve"> antenatal care and</w:t>
      </w:r>
      <w:r w:rsidR="009122DF">
        <w:rPr>
          <w:b/>
        </w:rPr>
        <w:t xml:space="preserve"> </w:t>
      </w:r>
      <w:r>
        <w:rPr>
          <w:b/>
        </w:rPr>
        <w:t>nearly all of these women receive iron folic acid supplementation, are weighed and get some nutrition counseling</w:t>
      </w:r>
      <w:r w:rsidR="009122DF">
        <w:rPr>
          <w:b/>
        </w:rPr>
        <w:t>.</w:t>
      </w:r>
      <w:r w:rsidR="00367809">
        <w:rPr>
          <w:b/>
        </w:rPr>
        <w:t xml:space="preserve"> </w:t>
      </w:r>
      <w:r w:rsidR="009122DF">
        <w:rPr>
          <w:b/>
        </w:rPr>
        <w:t xml:space="preserve">Increased access to health services </w:t>
      </w:r>
      <w:r w:rsidR="001E4AE7">
        <w:rPr>
          <w:b/>
        </w:rPr>
        <w:t>could have a positive impact on maternal nutrition, but this potential is not yet realized</w:t>
      </w:r>
      <w:r w:rsidR="003152F4">
        <w:rPr>
          <w:b/>
        </w:rPr>
        <w:t>.</w:t>
      </w:r>
      <w:r w:rsidR="00906077" w:rsidRPr="00906077">
        <w:rPr>
          <w:noProof/>
        </w:rPr>
        <w:t xml:space="preserve"> </w:t>
      </w:r>
    </w:p>
    <w:p w:rsidR="00884751" w:rsidRDefault="00884751" w:rsidP="00884751">
      <w:pPr>
        <w:pStyle w:val="ListParagraph"/>
        <w:numPr>
          <w:ilvl w:val="0"/>
          <w:numId w:val="11"/>
        </w:numPr>
      </w:pPr>
      <w:r>
        <w:t xml:space="preserve">3 of 4 pregnant women receive nutrition counseling, but little is known about the quality of this counseling. </w:t>
      </w:r>
      <w:r>
        <w:t>High</w:t>
      </w:r>
      <w:r>
        <w:t xml:space="preserve"> and stagnant</w:t>
      </w:r>
      <w:r>
        <w:t xml:space="preserve"> rates of low birth weight suggest</w:t>
      </w:r>
      <w:r w:rsidR="00AD035F">
        <w:t xml:space="preserve"> that counseling has been</w:t>
      </w:r>
      <w:r>
        <w:t xml:space="preserve"> insufficient</w:t>
      </w:r>
      <w:r w:rsidR="00AD035F">
        <w:t xml:space="preserve"> to improve</w:t>
      </w:r>
      <w:r>
        <w:t xml:space="preserve"> maternal </w:t>
      </w:r>
      <w:r w:rsidR="00FD034A">
        <w:t>nutrition</w:t>
      </w:r>
      <w:r>
        <w:t xml:space="preserve">. Monitoring weight gain and improving weight gain promotion during antenatal care </w:t>
      </w:r>
      <w:r w:rsidR="00AD035F">
        <w:t>could have a positive</w:t>
      </w:r>
      <w:r>
        <w:t xml:space="preserve"> impact on maternal and child health.</w:t>
      </w:r>
      <w:r w:rsidR="00081ED7">
        <w:t xml:space="preserve"> A mass media campaign focusing on increasing food consumption during pregnancy could complement antenatal care counseling.</w:t>
      </w:r>
    </w:p>
    <w:p w:rsidR="00884751" w:rsidRDefault="00884751" w:rsidP="00AD035F">
      <w:pPr>
        <w:pStyle w:val="ListParagraph"/>
      </w:pPr>
    </w:p>
    <w:p w:rsidR="009122DF" w:rsidRDefault="00081ED7" w:rsidP="009122DF">
      <w:pPr>
        <w:pStyle w:val="ListParagraph"/>
        <w:numPr>
          <w:ilvl w:val="0"/>
          <w:numId w:val="11"/>
        </w:numPr>
      </w:pPr>
      <w:r>
        <w:rPr>
          <w:noProof/>
          <w:lang w:eastAsia="ko-KR"/>
        </w:rPr>
        <w:drawing>
          <wp:anchor distT="0" distB="0" distL="114300" distR="114300" simplePos="0" relativeHeight="251666944" behindDoc="0" locked="0" layoutInCell="1" allowOverlap="1" wp14:anchorId="7276BF82" wp14:editId="509DDD1E">
            <wp:simplePos x="0" y="0"/>
            <wp:positionH relativeFrom="margin">
              <wp:posOffset>2847975</wp:posOffset>
            </wp:positionH>
            <wp:positionV relativeFrom="margin">
              <wp:posOffset>5656580</wp:posOffset>
            </wp:positionV>
            <wp:extent cx="3163570" cy="2267585"/>
            <wp:effectExtent l="0" t="0" r="17780" b="18415"/>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1D10B5">
        <w:rPr>
          <w:noProof/>
          <w:lang w:eastAsia="ko-KR"/>
        </w:rPr>
        <w:drawing>
          <wp:anchor distT="0" distB="0" distL="114300" distR="114300" simplePos="0" relativeHeight="251669504" behindDoc="0" locked="0" layoutInCell="1" allowOverlap="1" wp14:anchorId="02FC0943" wp14:editId="19FBF871">
            <wp:simplePos x="0" y="0"/>
            <wp:positionH relativeFrom="margin">
              <wp:posOffset>2847340</wp:posOffset>
            </wp:positionH>
            <wp:positionV relativeFrom="margin">
              <wp:posOffset>2508250</wp:posOffset>
            </wp:positionV>
            <wp:extent cx="3163570" cy="2267585"/>
            <wp:effectExtent l="0" t="0" r="17780" b="18415"/>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664B3F">
        <w:t>Nearly all women</w:t>
      </w:r>
      <w:r w:rsidR="00884751">
        <w:t xml:space="preserve"> now</w:t>
      </w:r>
      <w:r w:rsidR="00664B3F">
        <w:t xml:space="preserve"> receive IFA supplementation during pregnancy, but </w:t>
      </w:r>
      <w:r w:rsidR="00884751">
        <w:t xml:space="preserve">anemia rates only dropped 4 percentage points in the last 5 years. </w:t>
      </w:r>
      <w:r w:rsidR="00AD035F">
        <w:t>Since m</w:t>
      </w:r>
      <w:r w:rsidR="00AD035F">
        <w:t>ost women are now seeking care in the 1</w:t>
      </w:r>
      <w:r w:rsidR="00AD035F" w:rsidRPr="00884751">
        <w:rPr>
          <w:vertAlign w:val="superscript"/>
        </w:rPr>
        <w:t>st</w:t>
      </w:r>
      <w:r w:rsidR="00AD035F">
        <w:t xml:space="preserve"> half of their pregnancy and the large majority</w:t>
      </w:r>
      <w:r w:rsidR="00AD035F">
        <w:t xml:space="preserve"> now</w:t>
      </w:r>
      <w:r w:rsidR="00AD035F">
        <w:t xml:space="preserve"> attends</w:t>
      </w:r>
      <w:r w:rsidR="00AD035F">
        <w:t xml:space="preserve"> more than two antenatal visits, it is possible for women to take enough supplements to reduce anemia. Currently, only 57% take the nationally recommended 90 tablets. </w:t>
      </w:r>
      <w:r w:rsidR="00FD034A">
        <w:t>C</w:t>
      </w:r>
      <w:r w:rsidR="00AD035F">
        <w:t xml:space="preserve">ounseling could help </w:t>
      </w:r>
      <w:r w:rsidR="00FD034A">
        <w:t>to ensure that women take enough tablets and that they take them at the right time</w:t>
      </w:r>
      <w:r w:rsidR="00AD035F">
        <w:t>.</w:t>
      </w:r>
      <w:r w:rsidR="00FD034A">
        <w:t xml:space="preserve"> Revising policy to allow six months of supplementation (180 tablets) as per international recommendations can also be considered. </w:t>
      </w:r>
      <w:r w:rsidR="00AD035F">
        <w:t xml:space="preserve"> </w:t>
      </w:r>
    </w:p>
    <w:p w:rsidR="009122DF" w:rsidRDefault="009122DF" w:rsidP="009122DF">
      <w:pPr>
        <w:pStyle w:val="ListParagraph"/>
      </w:pPr>
    </w:p>
    <w:p w:rsidR="009122DF" w:rsidRDefault="009122DF" w:rsidP="009122DF">
      <w:pPr>
        <w:pStyle w:val="ListParagraph"/>
        <w:numPr>
          <w:ilvl w:val="0"/>
          <w:numId w:val="11"/>
        </w:numPr>
      </w:pPr>
      <w:r>
        <w:t xml:space="preserve">Coverage of </w:t>
      </w:r>
      <w:r w:rsidR="00FD034A">
        <w:t xml:space="preserve">42 tablets of </w:t>
      </w:r>
      <w:r>
        <w:t>postpartum IFA supplementation has increased over the last 5 years, but is still reaching less than 1/2 of the population</w:t>
      </w:r>
      <w:r w:rsidR="00FD034A">
        <w:t xml:space="preserve">. Coverage is likely to climb because more and more women are delivering in public health facilities. Extending postpartum supplementation to three months, as per international recommendations, can be considered. </w:t>
      </w:r>
    </w:p>
    <w:p w:rsidR="009122DF" w:rsidRDefault="009122DF" w:rsidP="009122DF">
      <w:pPr>
        <w:pStyle w:val="ListParagraph"/>
      </w:pPr>
    </w:p>
    <w:p w:rsidR="00FD034A" w:rsidRDefault="00FD034A" w:rsidP="00FD034A">
      <w:pPr>
        <w:pStyle w:val="ListParagraph"/>
      </w:pPr>
    </w:p>
    <w:p w:rsidR="00FD034A" w:rsidRDefault="00FD034A" w:rsidP="00FD034A">
      <w:pPr>
        <w:pStyle w:val="ListParagraph"/>
      </w:pPr>
    </w:p>
    <w:p w:rsidR="00FD034A" w:rsidRDefault="00FD034A" w:rsidP="00FD034A">
      <w:pPr>
        <w:pStyle w:val="ListParagraph"/>
      </w:pPr>
    </w:p>
    <w:p w:rsidR="00FD034A" w:rsidRDefault="00FD034A" w:rsidP="00FD034A">
      <w:pPr>
        <w:pStyle w:val="ListParagraph"/>
      </w:pPr>
    </w:p>
    <w:p w:rsidR="00FD034A" w:rsidRDefault="00FD034A" w:rsidP="00FD034A">
      <w:r>
        <w:rPr>
          <w:rStyle w:val="Heading2Char"/>
        </w:rPr>
        <w:t xml:space="preserve">What </w:t>
      </w:r>
      <w:proofErr w:type="gramStart"/>
      <w:r>
        <w:rPr>
          <w:rStyle w:val="Heading2Char"/>
        </w:rPr>
        <w:t>Can</w:t>
      </w:r>
      <w:proofErr w:type="gramEnd"/>
      <w:r>
        <w:rPr>
          <w:rStyle w:val="Heading2Char"/>
        </w:rPr>
        <w:t xml:space="preserve"> be Done?</w:t>
      </w:r>
      <w:r>
        <w:rPr>
          <w:rStyle w:val="Heading2Char"/>
        </w:rPr>
        <w:t xml:space="preserve"> (</w:t>
      </w:r>
      <w:proofErr w:type="gramStart"/>
      <w:r>
        <w:rPr>
          <w:rStyle w:val="Heading2Char"/>
        </w:rPr>
        <w:t>continued</w:t>
      </w:r>
      <w:proofErr w:type="gramEnd"/>
      <w:r>
        <w:rPr>
          <w:rStyle w:val="Heading2Char"/>
        </w:rPr>
        <w:t>)</w:t>
      </w:r>
    </w:p>
    <w:p w:rsidR="00FD034A" w:rsidRDefault="00FD034A" w:rsidP="00FD034A">
      <w:pPr>
        <w:pStyle w:val="ListParagraph"/>
      </w:pPr>
    </w:p>
    <w:p w:rsidR="00081ED7" w:rsidRDefault="00081ED7" w:rsidP="00081ED7">
      <w:pPr>
        <w:pStyle w:val="ListParagraph"/>
        <w:numPr>
          <w:ilvl w:val="0"/>
          <w:numId w:val="11"/>
        </w:numPr>
      </w:pPr>
      <w:r>
        <w:t xml:space="preserve">For the poorest households counseling and micronutrient supplementation will not be enough to improve maternal nutrition. </w:t>
      </w:r>
      <w:r>
        <w:t xml:space="preserve">There is no national program for providing food or cash transfers to poor, pregnant women. Such a system could </w:t>
      </w:r>
      <w:r>
        <w:t>increase the impact of nutrition counseling and micronutrient supplementation; this is currently being researched in Cambodia.</w:t>
      </w:r>
      <w:r>
        <w:t xml:space="preserve"> </w:t>
      </w:r>
    </w:p>
    <w:p w:rsidR="00081ED7" w:rsidRDefault="00081ED7" w:rsidP="00081ED7">
      <w:pPr>
        <w:pStyle w:val="ListParagraph"/>
      </w:pPr>
    </w:p>
    <w:p w:rsidR="00EA4BBD" w:rsidRDefault="00081ED7" w:rsidP="00081ED7">
      <w:pPr>
        <w:pStyle w:val="ListParagraph"/>
        <w:numPr>
          <w:ilvl w:val="0"/>
          <w:numId w:val="11"/>
        </w:numPr>
      </w:pPr>
      <w:r>
        <w:t>The majority of pregnant women enters pregnancy anemic and will not attend antenatal care until the 3</w:t>
      </w:r>
      <w:r w:rsidRPr="00081ED7">
        <w:rPr>
          <w:vertAlign w:val="superscript"/>
        </w:rPr>
        <w:t>rd</w:t>
      </w:r>
      <w:r>
        <w:t xml:space="preserve"> month of pregnancy. Women that are anemic in the first 3 months of pregnancy will have smaller children. This means that micronutrient supplementation during pregnancy cannot completely prevent the negative effects of deficiency on the newborn. Two strategies to reduce iron deficiency before pregnancy have been researched in the cou</w:t>
      </w:r>
      <w:r w:rsidR="00EA4BBD">
        <w:t>ntry:</w:t>
      </w:r>
      <w:r>
        <w:t xml:space="preserve"> </w:t>
      </w:r>
    </w:p>
    <w:p w:rsidR="00EA4BBD" w:rsidRDefault="00EA4BBD" w:rsidP="00EA4BBD">
      <w:pPr>
        <w:pStyle w:val="ListParagraph"/>
      </w:pPr>
    </w:p>
    <w:p w:rsidR="00EA4BBD" w:rsidRDefault="00EA4BBD" w:rsidP="00EA4BBD">
      <w:pPr>
        <w:pStyle w:val="ListParagraph"/>
        <w:numPr>
          <w:ilvl w:val="0"/>
          <w:numId w:val="12"/>
        </w:numPr>
      </w:pPr>
      <w:r>
        <w:t xml:space="preserve">Iron fortification of fish and soy sauce was studied, but it is not implemented at scale. </w:t>
      </w:r>
      <w:r w:rsidRPr="00365B70">
        <w:t xml:space="preserve">Legislation that makes iron fortification mandatory for importation and for domestic production is needed to scale-up the </w:t>
      </w:r>
      <w:proofErr w:type="spellStart"/>
      <w:r w:rsidRPr="00365B70">
        <w:t>programme</w:t>
      </w:r>
      <w:proofErr w:type="spellEnd"/>
      <w:r>
        <w:t>.</w:t>
      </w:r>
      <w:r>
        <w:t xml:space="preserve"> However, the poorest households will likely not benefit from fortification because they will not consume the product. These households require supplementation. </w:t>
      </w:r>
    </w:p>
    <w:p w:rsidR="00EA4BBD" w:rsidRDefault="00EA4BBD" w:rsidP="00EA4BBD">
      <w:pPr>
        <w:pStyle w:val="ListParagraph"/>
        <w:ind w:left="1440"/>
      </w:pPr>
      <w:bookmarkStart w:id="0" w:name="_GoBack"/>
      <w:bookmarkEnd w:id="0"/>
    </w:p>
    <w:p w:rsidR="002C53CC" w:rsidRDefault="001E4AE7" w:rsidP="00EA4BBD">
      <w:pPr>
        <w:pStyle w:val="ListParagraph"/>
        <w:numPr>
          <w:ilvl w:val="0"/>
          <w:numId w:val="12"/>
        </w:numPr>
      </w:pPr>
      <w:r>
        <w:t>Weekly iron folic acid supplementation for women of reproductive age was studied, but is yet to be scaled up; the current estimate of coverage is 3%.</w:t>
      </w:r>
      <w:r w:rsidR="00EA4BBD">
        <w:t xml:space="preserve"> Using packaging similar to other preventive supplementation </w:t>
      </w:r>
      <w:proofErr w:type="spellStart"/>
      <w:r w:rsidR="00EA4BBD">
        <w:t>programmes</w:t>
      </w:r>
      <w:proofErr w:type="spellEnd"/>
      <w:r w:rsidR="00EA4BBD">
        <w:t xml:space="preserve"> (no individual box and no blister pack) and targeting the intervention to poor, young women could help to achieve nationwide scale up.</w:t>
      </w:r>
      <w:r w:rsidR="00081ED7">
        <w:t xml:space="preserve"> </w:t>
      </w:r>
    </w:p>
    <w:p w:rsidR="00CD46FE" w:rsidRDefault="00CD46FE" w:rsidP="00081ED7">
      <w:pPr>
        <w:pStyle w:val="ListParagraph"/>
        <w:numPr>
          <w:ilvl w:val="0"/>
          <w:numId w:val="11"/>
        </w:numPr>
        <w:sectPr w:rsidR="00CD46FE" w:rsidSect="001B609F">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3850EE" w:rsidRPr="00624BED" w:rsidRDefault="003850EE" w:rsidP="00CA7054"/>
    <w:sectPr w:rsidR="003850EE" w:rsidRPr="00624BED" w:rsidSect="00415BCA">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9F5" w:rsidRDefault="00CC19F5" w:rsidP="00624BED">
      <w:pPr>
        <w:spacing w:after="0" w:line="240" w:lineRule="auto"/>
      </w:pPr>
      <w:r>
        <w:separator/>
      </w:r>
    </w:p>
  </w:endnote>
  <w:endnote w:type="continuationSeparator" w:id="0">
    <w:p w:rsidR="00CC19F5" w:rsidRDefault="00CC19F5" w:rsidP="00624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DaunPenh">
    <w:panose1 w:val="02000500000000020004"/>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9F5" w:rsidRDefault="00CC19F5" w:rsidP="00624BED">
      <w:pPr>
        <w:spacing w:after="0" w:line="240" w:lineRule="auto"/>
      </w:pPr>
      <w:r>
        <w:separator/>
      </w:r>
    </w:p>
  </w:footnote>
  <w:footnote w:type="continuationSeparator" w:id="0">
    <w:p w:rsidR="00CC19F5" w:rsidRDefault="00CC19F5" w:rsidP="00624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624BED" w:rsidTr="00624BED">
      <w:trPr>
        <w:trHeight w:val="288"/>
      </w:trPr>
      <w:tc>
        <w:tcPr>
          <w:tcW w:w="8395" w:type="dxa"/>
        </w:tcPr>
        <w:p w:rsidR="00624BED" w:rsidRDefault="00572DA1" w:rsidP="00624BED">
          <w:pPr>
            <w:pStyle w:val="Header"/>
            <w:jc w:val="right"/>
            <w:rPr>
              <w:rFonts w:asciiTheme="majorHAnsi" w:eastAsiaTheme="majorEastAsia" w:hAnsiTheme="majorHAnsi" w:cstheme="majorBidi"/>
              <w:sz w:val="36"/>
            </w:rPr>
          </w:pPr>
          <w:r>
            <w:rPr>
              <w:rFonts w:asciiTheme="majorHAnsi" w:eastAsiaTheme="majorEastAsia" w:hAnsiTheme="majorHAnsi" w:cstheme="majorBidi"/>
              <w:sz w:val="32"/>
              <w:szCs w:val="32"/>
            </w:rPr>
            <w:t>Maternal</w:t>
          </w:r>
          <w:r w:rsidR="007E100A">
            <w:rPr>
              <w:rFonts w:asciiTheme="majorHAnsi" w:eastAsiaTheme="majorEastAsia" w:hAnsiTheme="majorHAnsi" w:cstheme="majorBidi"/>
              <w:sz w:val="32"/>
              <w:szCs w:val="32"/>
            </w:rPr>
            <w:t xml:space="preserve"> </w:t>
          </w:r>
          <w:r w:rsidR="00624BED" w:rsidRPr="007D37EB">
            <w:rPr>
              <w:rFonts w:asciiTheme="majorHAnsi" w:eastAsiaTheme="majorEastAsia" w:hAnsiTheme="majorHAnsi" w:cstheme="majorBidi"/>
              <w:sz w:val="32"/>
              <w:szCs w:val="32"/>
            </w:rPr>
            <w:t>Nutrition Fact Sheet - Cambodia</w:t>
          </w:r>
        </w:p>
      </w:tc>
      <w:sdt>
        <w:sdtPr>
          <w:rPr>
            <w:rFonts w:asciiTheme="majorHAnsi" w:eastAsiaTheme="majorEastAsia" w:hAnsiTheme="majorHAnsi" w:cstheme="majorBidi"/>
            <w:b/>
            <w:bCs/>
            <w:color w:val="4F81BD" w:themeColor="accent1"/>
            <w:sz w:val="36"/>
          </w:rPr>
          <w:alias w:val="Year"/>
          <w:id w:val="-110056907"/>
          <w:placeholder>
            <w:docPart w:val="FA6F382B7FFF4709BE877EE85EF28BF8"/>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tc>
            <w:tcPr>
              <w:tcW w:w="1195" w:type="dxa"/>
            </w:tcPr>
            <w:p w:rsidR="00624BED" w:rsidRDefault="000147EC" w:rsidP="00E0570D">
              <w:pPr>
                <w:pStyle w:val="Header"/>
                <w:rPr>
                  <w:rFonts w:asciiTheme="majorHAnsi" w:eastAsiaTheme="majorEastAsia" w:hAnsiTheme="majorHAnsi" w:cstheme="majorBidi"/>
                  <w:b/>
                  <w:bCs/>
                  <w:color w:val="4F81BD" w:themeColor="accent1"/>
                  <w:sz w:val="36"/>
                </w:rPr>
              </w:pPr>
              <w:r>
                <w:rPr>
                  <w:rFonts w:asciiTheme="majorHAnsi" w:eastAsiaTheme="majorEastAsia" w:hAnsiTheme="majorHAnsi" w:cstheme="majorBidi"/>
                  <w:b/>
                  <w:bCs/>
                  <w:color w:val="4F81BD" w:themeColor="accent1"/>
                  <w:sz w:val="36"/>
                </w:rPr>
                <w:t>201</w:t>
              </w:r>
              <w:r w:rsidR="00E0570D">
                <w:rPr>
                  <w:rFonts w:asciiTheme="majorHAnsi" w:eastAsiaTheme="majorEastAsia" w:hAnsiTheme="majorHAnsi" w:cstheme="majorBidi"/>
                  <w:b/>
                  <w:bCs/>
                  <w:color w:val="4F81BD" w:themeColor="accent1"/>
                  <w:sz w:val="36"/>
                </w:rPr>
                <w:t>3</w:t>
              </w:r>
            </w:p>
          </w:tc>
        </w:sdtContent>
      </w:sdt>
    </w:tr>
  </w:tbl>
  <w:p w:rsidR="00624BED" w:rsidRDefault="00624B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15B0"/>
    <w:multiLevelType w:val="hybridMultilevel"/>
    <w:tmpl w:val="70F2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3741D"/>
    <w:multiLevelType w:val="hybridMultilevel"/>
    <w:tmpl w:val="7F14C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B7089"/>
    <w:multiLevelType w:val="hybridMultilevel"/>
    <w:tmpl w:val="08B46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55C4E"/>
    <w:multiLevelType w:val="hybridMultilevel"/>
    <w:tmpl w:val="E98A0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83EAC"/>
    <w:multiLevelType w:val="hybridMultilevel"/>
    <w:tmpl w:val="1A0463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AC00AB"/>
    <w:multiLevelType w:val="hybridMultilevel"/>
    <w:tmpl w:val="BC8A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E303A"/>
    <w:multiLevelType w:val="hybridMultilevel"/>
    <w:tmpl w:val="AB7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21754"/>
    <w:multiLevelType w:val="hybridMultilevel"/>
    <w:tmpl w:val="40A2D6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290FFE"/>
    <w:multiLevelType w:val="hybridMultilevel"/>
    <w:tmpl w:val="55D66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973028"/>
    <w:multiLevelType w:val="hybridMultilevel"/>
    <w:tmpl w:val="3BF0E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D92B10"/>
    <w:multiLevelType w:val="hybridMultilevel"/>
    <w:tmpl w:val="ECC49F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8D1F4F"/>
    <w:multiLevelType w:val="hybridMultilevel"/>
    <w:tmpl w:val="846C9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6"/>
  </w:num>
  <w:num w:numId="5">
    <w:abstractNumId w:val="2"/>
  </w:num>
  <w:num w:numId="6">
    <w:abstractNumId w:val="9"/>
  </w:num>
  <w:num w:numId="7">
    <w:abstractNumId w:val="7"/>
  </w:num>
  <w:num w:numId="8">
    <w:abstractNumId w:val="8"/>
  </w:num>
  <w:num w:numId="9">
    <w:abstractNumId w:val="3"/>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ED"/>
    <w:rsid w:val="000147EC"/>
    <w:rsid w:val="000221B7"/>
    <w:rsid w:val="000700A5"/>
    <w:rsid w:val="00074CB2"/>
    <w:rsid w:val="00081ED7"/>
    <w:rsid w:val="00085866"/>
    <w:rsid w:val="000948E6"/>
    <w:rsid w:val="00095C3E"/>
    <w:rsid w:val="000B2111"/>
    <w:rsid w:val="000E5C09"/>
    <w:rsid w:val="000E5DA3"/>
    <w:rsid w:val="000E66C1"/>
    <w:rsid w:val="000F76F3"/>
    <w:rsid w:val="001237A0"/>
    <w:rsid w:val="001449AA"/>
    <w:rsid w:val="00154926"/>
    <w:rsid w:val="0015779C"/>
    <w:rsid w:val="00181978"/>
    <w:rsid w:val="00185C8D"/>
    <w:rsid w:val="001A4939"/>
    <w:rsid w:val="001B609F"/>
    <w:rsid w:val="001B6AB6"/>
    <w:rsid w:val="001C1C42"/>
    <w:rsid w:val="001C7412"/>
    <w:rsid w:val="001D10B5"/>
    <w:rsid w:val="001E4AE7"/>
    <w:rsid w:val="001F26B8"/>
    <w:rsid w:val="00214457"/>
    <w:rsid w:val="002450FE"/>
    <w:rsid w:val="0026151D"/>
    <w:rsid w:val="00271A0D"/>
    <w:rsid w:val="0027260C"/>
    <w:rsid w:val="00282608"/>
    <w:rsid w:val="002C53CC"/>
    <w:rsid w:val="002E61C2"/>
    <w:rsid w:val="00301422"/>
    <w:rsid w:val="00313444"/>
    <w:rsid w:val="003152F4"/>
    <w:rsid w:val="0036477E"/>
    <w:rsid w:val="00367809"/>
    <w:rsid w:val="003822BB"/>
    <w:rsid w:val="003850EE"/>
    <w:rsid w:val="003C01CF"/>
    <w:rsid w:val="00415BCA"/>
    <w:rsid w:val="00416EE9"/>
    <w:rsid w:val="00421DA9"/>
    <w:rsid w:val="00422099"/>
    <w:rsid w:val="0042320E"/>
    <w:rsid w:val="00435A1E"/>
    <w:rsid w:val="004448C3"/>
    <w:rsid w:val="004E5467"/>
    <w:rsid w:val="00500AB5"/>
    <w:rsid w:val="005115B1"/>
    <w:rsid w:val="005311AA"/>
    <w:rsid w:val="00561A70"/>
    <w:rsid w:val="00572DA1"/>
    <w:rsid w:val="005832DF"/>
    <w:rsid w:val="005853E0"/>
    <w:rsid w:val="00590CF9"/>
    <w:rsid w:val="005A17F6"/>
    <w:rsid w:val="005E7E7C"/>
    <w:rsid w:val="00624BED"/>
    <w:rsid w:val="00633EFB"/>
    <w:rsid w:val="00664B3F"/>
    <w:rsid w:val="006B7D30"/>
    <w:rsid w:val="006D2608"/>
    <w:rsid w:val="006F71A5"/>
    <w:rsid w:val="0077662B"/>
    <w:rsid w:val="00790AB2"/>
    <w:rsid w:val="007A036A"/>
    <w:rsid w:val="007A0693"/>
    <w:rsid w:val="007C3D4B"/>
    <w:rsid w:val="007C56C2"/>
    <w:rsid w:val="007D37EB"/>
    <w:rsid w:val="007E100A"/>
    <w:rsid w:val="00805047"/>
    <w:rsid w:val="00825136"/>
    <w:rsid w:val="008364D3"/>
    <w:rsid w:val="0084162A"/>
    <w:rsid w:val="00884751"/>
    <w:rsid w:val="008B4F9A"/>
    <w:rsid w:val="008C2F8C"/>
    <w:rsid w:val="008C4299"/>
    <w:rsid w:val="00906077"/>
    <w:rsid w:val="009122DF"/>
    <w:rsid w:val="0092363C"/>
    <w:rsid w:val="00941C9A"/>
    <w:rsid w:val="0094513D"/>
    <w:rsid w:val="00947FD0"/>
    <w:rsid w:val="009542DC"/>
    <w:rsid w:val="00966D80"/>
    <w:rsid w:val="00971E75"/>
    <w:rsid w:val="00990FEC"/>
    <w:rsid w:val="009938CF"/>
    <w:rsid w:val="00996ADA"/>
    <w:rsid w:val="00997FFD"/>
    <w:rsid w:val="009B2382"/>
    <w:rsid w:val="009B57DC"/>
    <w:rsid w:val="009C6D57"/>
    <w:rsid w:val="009C74B2"/>
    <w:rsid w:val="009D62BA"/>
    <w:rsid w:val="00A20D9D"/>
    <w:rsid w:val="00A5200B"/>
    <w:rsid w:val="00A546CF"/>
    <w:rsid w:val="00A60D31"/>
    <w:rsid w:val="00AA6F0F"/>
    <w:rsid w:val="00AD035F"/>
    <w:rsid w:val="00AE1B36"/>
    <w:rsid w:val="00AF3170"/>
    <w:rsid w:val="00AF355C"/>
    <w:rsid w:val="00AF7253"/>
    <w:rsid w:val="00B2584E"/>
    <w:rsid w:val="00B30D3C"/>
    <w:rsid w:val="00B5387B"/>
    <w:rsid w:val="00B54DF7"/>
    <w:rsid w:val="00BC07AC"/>
    <w:rsid w:val="00C33BE4"/>
    <w:rsid w:val="00C43685"/>
    <w:rsid w:val="00C9232D"/>
    <w:rsid w:val="00CA55B9"/>
    <w:rsid w:val="00CA7054"/>
    <w:rsid w:val="00CB598E"/>
    <w:rsid w:val="00CC19F5"/>
    <w:rsid w:val="00CD46FE"/>
    <w:rsid w:val="00CF490B"/>
    <w:rsid w:val="00D00064"/>
    <w:rsid w:val="00D66DAD"/>
    <w:rsid w:val="00D76606"/>
    <w:rsid w:val="00D854B5"/>
    <w:rsid w:val="00D96F69"/>
    <w:rsid w:val="00DC3DEF"/>
    <w:rsid w:val="00E0570D"/>
    <w:rsid w:val="00E46C95"/>
    <w:rsid w:val="00EA4BBD"/>
    <w:rsid w:val="00F0210F"/>
    <w:rsid w:val="00F062C7"/>
    <w:rsid w:val="00F74A26"/>
    <w:rsid w:val="00F84324"/>
    <w:rsid w:val="00F90848"/>
    <w:rsid w:val="00FC6DB9"/>
    <w:rsid w:val="00FD034A"/>
    <w:rsid w:val="00FD07D5"/>
    <w:rsid w:val="00FE19BF"/>
    <w:rsid w:val="00FE6F52"/>
    <w:rsid w:val="00FF0A88"/>
    <w:rsid w:val="00FF4EEE"/>
    <w:rsid w:val="00FF7C1E"/>
  </w:rsids>
  <m:mathPr>
    <m:mathFont m:val="Cambria Math"/>
    <m:brkBin m:val="before"/>
    <m:brkBinSub m:val="--"/>
    <m:smallFrac/>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4B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50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BE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24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BED"/>
  </w:style>
  <w:style w:type="paragraph" w:styleId="Footer">
    <w:name w:val="footer"/>
    <w:basedOn w:val="Normal"/>
    <w:link w:val="FooterChar"/>
    <w:uiPriority w:val="99"/>
    <w:unhideWhenUsed/>
    <w:rsid w:val="00624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BED"/>
  </w:style>
  <w:style w:type="paragraph" w:styleId="BalloonText">
    <w:name w:val="Balloon Text"/>
    <w:basedOn w:val="Normal"/>
    <w:link w:val="BalloonTextChar"/>
    <w:uiPriority w:val="99"/>
    <w:semiHidden/>
    <w:unhideWhenUsed/>
    <w:rsid w:val="00624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BED"/>
    <w:rPr>
      <w:rFonts w:ascii="Tahoma" w:hAnsi="Tahoma" w:cs="Tahoma"/>
      <w:sz w:val="16"/>
      <w:szCs w:val="16"/>
    </w:rPr>
  </w:style>
  <w:style w:type="character" w:customStyle="1" w:styleId="Heading2Char">
    <w:name w:val="Heading 2 Char"/>
    <w:basedOn w:val="DefaultParagraphFont"/>
    <w:link w:val="Heading2"/>
    <w:uiPriority w:val="9"/>
    <w:rsid w:val="003850E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850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115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5B1"/>
    <w:rPr>
      <w:sz w:val="20"/>
      <w:szCs w:val="20"/>
    </w:rPr>
  </w:style>
  <w:style w:type="character" w:styleId="FootnoteReference">
    <w:name w:val="footnote reference"/>
    <w:basedOn w:val="DefaultParagraphFont"/>
    <w:uiPriority w:val="99"/>
    <w:semiHidden/>
    <w:unhideWhenUsed/>
    <w:rsid w:val="005115B1"/>
    <w:rPr>
      <w:vertAlign w:val="superscript"/>
    </w:rPr>
  </w:style>
  <w:style w:type="character" w:styleId="CommentReference">
    <w:name w:val="annotation reference"/>
    <w:basedOn w:val="DefaultParagraphFont"/>
    <w:uiPriority w:val="99"/>
    <w:semiHidden/>
    <w:unhideWhenUsed/>
    <w:rsid w:val="001449AA"/>
    <w:rPr>
      <w:sz w:val="16"/>
      <w:szCs w:val="16"/>
    </w:rPr>
  </w:style>
  <w:style w:type="paragraph" w:styleId="CommentText">
    <w:name w:val="annotation text"/>
    <w:basedOn w:val="Normal"/>
    <w:link w:val="CommentTextChar"/>
    <w:uiPriority w:val="99"/>
    <w:semiHidden/>
    <w:unhideWhenUsed/>
    <w:rsid w:val="001449AA"/>
    <w:pPr>
      <w:spacing w:line="240" w:lineRule="auto"/>
    </w:pPr>
    <w:rPr>
      <w:sz w:val="20"/>
      <w:szCs w:val="20"/>
    </w:rPr>
  </w:style>
  <w:style w:type="character" w:customStyle="1" w:styleId="CommentTextChar">
    <w:name w:val="Comment Text Char"/>
    <w:basedOn w:val="DefaultParagraphFont"/>
    <w:link w:val="CommentText"/>
    <w:uiPriority w:val="99"/>
    <w:semiHidden/>
    <w:rsid w:val="001449AA"/>
    <w:rPr>
      <w:sz w:val="20"/>
      <w:szCs w:val="20"/>
    </w:rPr>
  </w:style>
  <w:style w:type="paragraph" w:styleId="CommentSubject">
    <w:name w:val="annotation subject"/>
    <w:basedOn w:val="CommentText"/>
    <w:next w:val="CommentText"/>
    <w:link w:val="CommentSubjectChar"/>
    <w:uiPriority w:val="99"/>
    <w:semiHidden/>
    <w:unhideWhenUsed/>
    <w:rsid w:val="001449AA"/>
    <w:rPr>
      <w:b/>
      <w:bCs/>
    </w:rPr>
  </w:style>
  <w:style w:type="character" w:customStyle="1" w:styleId="CommentSubjectChar">
    <w:name w:val="Comment Subject Char"/>
    <w:basedOn w:val="CommentTextChar"/>
    <w:link w:val="CommentSubject"/>
    <w:uiPriority w:val="99"/>
    <w:semiHidden/>
    <w:rsid w:val="001449AA"/>
    <w:rPr>
      <w:b/>
      <w:bCs/>
      <w:sz w:val="20"/>
      <w:szCs w:val="20"/>
    </w:rPr>
  </w:style>
  <w:style w:type="paragraph" w:styleId="ListParagraph">
    <w:name w:val="List Paragraph"/>
    <w:basedOn w:val="Normal"/>
    <w:uiPriority w:val="34"/>
    <w:qFormat/>
    <w:rsid w:val="001C7412"/>
    <w:pPr>
      <w:ind w:left="720"/>
      <w:contextualSpacing/>
    </w:pPr>
  </w:style>
  <w:style w:type="paragraph" w:styleId="Revision">
    <w:name w:val="Revision"/>
    <w:hidden/>
    <w:uiPriority w:val="99"/>
    <w:semiHidden/>
    <w:rsid w:val="00947F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4B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50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BE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24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BED"/>
  </w:style>
  <w:style w:type="paragraph" w:styleId="Footer">
    <w:name w:val="footer"/>
    <w:basedOn w:val="Normal"/>
    <w:link w:val="FooterChar"/>
    <w:uiPriority w:val="99"/>
    <w:unhideWhenUsed/>
    <w:rsid w:val="00624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BED"/>
  </w:style>
  <w:style w:type="paragraph" w:styleId="BalloonText">
    <w:name w:val="Balloon Text"/>
    <w:basedOn w:val="Normal"/>
    <w:link w:val="BalloonTextChar"/>
    <w:uiPriority w:val="99"/>
    <w:semiHidden/>
    <w:unhideWhenUsed/>
    <w:rsid w:val="00624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BED"/>
    <w:rPr>
      <w:rFonts w:ascii="Tahoma" w:hAnsi="Tahoma" w:cs="Tahoma"/>
      <w:sz w:val="16"/>
      <w:szCs w:val="16"/>
    </w:rPr>
  </w:style>
  <w:style w:type="character" w:customStyle="1" w:styleId="Heading2Char">
    <w:name w:val="Heading 2 Char"/>
    <w:basedOn w:val="DefaultParagraphFont"/>
    <w:link w:val="Heading2"/>
    <w:uiPriority w:val="9"/>
    <w:rsid w:val="003850E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850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115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5B1"/>
    <w:rPr>
      <w:sz w:val="20"/>
      <w:szCs w:val="20"/>
    </w:rPr>
  </w:style>
  <w:style w:type="character" w:styleId="FootnoteReference">
    <w:name w:val="footnote reference"/>
    <w:basedOn w:val="DefaultParagraphFont"/>
    <w:uiPriority w:val="99"/>
    <w:semiHidden/>
    <w:unhideWhenUsed/>
    <w:rsid w:val="005115B1"/>
    <w:rPr>
      <w:vertAlign w:val="superscript"/>
    </w:rPr>
  </w:style>
  <w:style w:type="character" w:styleId="CommentReference">
    <w:name w:val="annotation reference"/>
    <w:basedOn w:val="DefaultParagraphFont"/>
    <w:uiPriority w:val="99"/>
    <w:semiHidden/>
    <w:unhideWhenUsed/>
    <w:rsid w:val="001449AA"/>
    <w:rPr>
      <w:sz w:val="16"/>
      <w:szCs w:val="16"/>
    </w:rPr>
  </w:style>
  <w:style w:type="paragraph" w:styleId="CommentText">
    <w:name w:val="annotation text"/>
    <w:basedOn w:val="Normal"/>
    <w:link w:val="CommentTextChar"/>
    <w:uiPriority w:val="99"/>
    <w:semiHidden/>
    <w:unhideWhenUsed/>
    <w:rsid w:val="001449AA"/>
    <w:pPr>
      <w:spacing w:line="240" w:lineRule="auto"/>
    </w:pPr>
    <w:rPr>
      <w:sz w:val="20"/>
      <w:szCs w:val="20"/>
    </w:rPr>
  </w:style>
  <w:style w:type="character" w:customStyle="1" w:styleId="CommentTextChar">
    <w:name w:val="Comment Text Char"/>
    <w:basedOn w:val="DefaultParagraphFont"/>
    <w:link w:val="CommentText"/>
    <w:uiPriority w:val="99"/>
    <w:semiHidden/>
    <w:rsid w:val="001449AA"/>
    <w:rPr>
      <w:sz w:val="20"/>
      <w:szCs w:val="20"/>
    </w:rPr>
  </w:style>
  <w:style w:type="paragraph" w:styleId="CommentSubject">
    <w:name w:val="annotation subject"/>
    <w:basedOn w:val="CommentText"/>
    <w:next w:val="CommentText"/>
    <w:link w:val="CommentSubjectChar"/>
    <w:uiPriority w:val="99"/>
    <w:semiHidden/>
    <w:unhideWhenUsed/>
    <w:rsid w:val="001449AA"/>
    <w:rPr>
      <w:b/>
      <w:bCs/>
    </w:rPr>
  </w:style>
  <w:style w:type="character" w:customStyle="1" w:styleId="CommentSubjectChar">
    <w:name w:val="Comment Subject Char"/>
    <w:basedOn w:val="CommentTextChar"/>
    <w:link w:val="CommentSubject"/>
    <w:uiPriority w:val="99"/>
    <w:semiHidden/>
    <w:rsid w:val="001449AA"/>
    <w:rPr>
      <w:b/>
      <w:bCs/>
      <w:sz w:val="20"/>
      <w:szCs w:val="20"/>
    </w:rPr>
  </w:style>
  <w:style w:type="paragraph" w:styleId="ListParagraph">
    <w:name w:val="List Paragraph"/>
    <w:basedOn w:val="Normal"/>
    <w:uiPriority w:val="34"/>
    <w:qFormat/>
    <w:rsid w:val="001C7412"/>
    <w:pPr>
      <w:ind w:left="720"/>
      <w:contextualSpacing/>
    </w:pPr>
  </w:style>
  <w:style w:type="paragraph" w:styleId="Revision">
    <w:name w:val="Revision"/>
    <w:hidden/>
    <w:uiPriority w:val="99"/>
    <w:semiHidden/>
    <w:rsid w:val="00947F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6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chart" Target="charts/chart4.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bdaapps02\driveM\7.%20MNCH-N\1.%20Planning,%20monitoring%20and%20evaluation\M&amp;E%20-%20NUTRITION\HOUSEHOLD%20SURVEYS\NUTRITION%20HH%20SURVEY%20TRENDS.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jconkle\Google%20Drive\CURRENT\NATIONAL%20SEMINAR\PRESENTATIONS\2011%20NUTRITION%20HH%20SURVEY%20TRENDS.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bdaapps02\driveM\7.%20MNCH-N\3.%20Technical%20documents%20-%20knowledge%20management\4.%20Nutrition\HOUSEHOLD%20SURVEYS\NUTRITION%20HH%20SURVEY%20TREND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bdaapps02\driveM\7.%20MNCH-N\3.%20Technical%20documents%20-%20knowledge%20management\4.%20Nutrition\HOUSEHOLD%20SURVEYS\NUTRITION%20HH%20SURVEY%20TREND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[NUTRITION HH SURVEY TRENDS.xlsx]MATERNAL ANEMIA!PivotTable2</c:name>
    <c:fmtId val="-1"/>
  </c:pivotSource>
  <c:chart>
    <c:title>
      <c:tx>
        <c:rich>
          <a:bodyPr/>
          <a:lstStyle/>
          <a:p>
            <a:pPr>
              <a:defRPr sz="900"/>
            </a:pPr>
            <a:r>
              <a:rPr lang="en-US" sz="900"/>
              <a:t>Percentage</a:t>
            </a:r>
            <a:r>
              <a:rPr lang="en-US" sz="900" baseline="0"/>
              <a:t> of Cambodian women age 15-49 with anemia from 2000-2010</a:t>
            </a:r>
            <a:endParaRPr lang="en-US" sz="900"/>
          </a:p>
        </c:rich>
      </c:tx>
      <c:overlay val="0"/>
    </c:title>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dLbl>
          <c:idx val="0"/>
          <c:spPr/>
          <c:txPr>
            <a:bodyPr/>
            <a:lstStyle/>
            <a:p>
              <a:pPr>
                <a:defRPr/>
              </a:pPr>
              <a:endParaRPr lang="en-US"/>
            </a:p>
          </c:txPr>
          <c:showLegendKey val="0"/>
          <c:showVal val="1"/>
          <c:showCatName val="0"/>
          <c:showSerName val="0"/>
          <c:showPercent val="0"/>
          <c:showBubbleSize val="0"/>
        </c:dLbl>
      </c:pivotFmt>
      <c:pivotFmt>
        <c:idx val="7"/>
        <c:marker>
          <c:symbol val="none"/>
        </c:marker>
        <c:dLbl>
          <c:idx val="0"/>
          <c:spPr/>
          <c:txPr>
            <a:bodyPr/>
            <a:lstStyle/>
            <a:p>
              <a:pPr>
                <a:defRPr/>
              </a:pPr>
              <a:endParaRPr lang="en-US"/>
            </a:p>
          </c:txPr>
          <c:showLegendKey val="0"/>
          <c:showVal val="1"/>
          <c:showCatName val="0"/>
          <c:showSerName val="0"/>
          <c:showPercent val="0"/>
          <c:showBubbleSize val="0"/>
        </c:dLbl>
      </c:pivotFmt>
      <c:pivotFmt>
        <c:idx val="8"/>
        <c:marker>
          <c:symbol val="none"/>
        </c:marker>
        <c:dLbl>
          <c:idx val="0"/>
          <c:spPr/>
          <c:txPr>
            <a:bodyPr/>
            <a:lstStyle/>
            <a:p>
              <a:pPr>
                <a:defRPr/>
              </a:pPr>
              <a:endParaRPr lang="en-US"/>
            </a:p>
          </c:txPr>
          <c:showLegendKey val="0"/>
          <c:showVal val="1"/>
          <c:showCatName val="0"/>
          <c:showSerName val="0"/>
          <c:showPercent val="0"/>
          <c:showBubbleSize val="0"/>
        </c:dLbl>
      </c:pivotFmt>
      <c:pivotFmt>
        <c:idx val="9"/>
        <c:marker>
          <c:symbol val="none"/>
        </c:marker>
        <c:dLbl>
          <c:idx val="0"/>
          <c:spPr/>
          <c:txPr>
            <a:bodyPr/>
            <a:lstStyle/>
            <a:p>
              <a:pPr>
                <a:defRPr/>
              </a:pPr>
              <a:endParaRPr lang="en-US"/>
            </a:p>
          </c:txPr>
          <c:showLegendKey val="0"/>
          <c:showVal val="1"/>
          <c:showCatName val="0"/>
          <c:showSerName val="0"/>
          <c:showPercent val="0"/>
          <c:showBubbleSize val="0"/>
        </c:dLbl>
      </c:pivotFmt>
      <c:pivotFmt>
        <c:idx val="10"/>
        <c:dLbl>
          <c:idx val="0"/>
          <c:spPr/>
          <c:txPr>
            <a:bodyPr/>
            <a:lstStyle/>
            <a:p>
              <a:pPr>
                <a:defRPr/>
              </a:pPr>
              <a:endParaRPr lang="en-US"/>
            </a:p>
          </c:txPr>
          <c:showLegendKey val="0"/>
          <c:showVal val="1"/>
          <c:showCatName val="0"/>
          <c:showSerName val="0"/>
          <c:showPercent val="0"/>
          <c:showBubbleSize val="0"/>
        </c:dLbl>
      </c:pivotFmt>
      <c:pivotFmt>
        <c:idx val="11"/>
        <c:dLbl>
          <c:idx val="0"/>
          <c:spPr/>
          <c:txPr>
            <a:bodyPr/>
            <a:lstStyle/>
            <a:p>
              <a:pPr>
                <a:defRPr/>
              </a:pPr>
              <a:endParaRPr lang="en-US"/>
            </a:p>
          </c:txPr>
          <c:showLegendKey val="0"/>
          <c:showVal val="1"/>
          <c:showCatName val="0"/>
          <c:showSerName val="0"/>
          <c:showPercent val="0"/>
          <c:showBubbleSize val="0"/>
        </c:dLbl>
      </c:pivotFmt>
      <c:pivotFmt>
        <c:idx val="12"/>
        <c:marker>
          <c:symbol val="none"/>
        </c:marker>
        <c:dLbl>
          <c:idx val="0"/>
          <c:spPr/>
          <c:txPr>
            <a:bodyPr/>
            <a:lstStyle/>
            <a:p>
              <a:pPr>
                <a:defRPr/>
              </a:pPr>
              <a:endParaRPr lang="en-US"/>
            </a:p>
          </c:txPr>
          <c:showLegendKey val="0"/>
          <c:showVal val="1"/>
          <c:showCatName val="0"/>
          <c:showSerName val="0"/>
          <c:showPercent val="0"/>
          <c:showBubbleSize val="0"/>
        </c:dLbl>
      </c:pivotFmt>
      <c:pivotFmt>
        <c:idx val="13"/>
        <c:marker>
          <c:symbol val="none"/>
        </c:marker>
        <c:dLbl>
          <c:idx val="0"/>
          <c:spPr/>
          <c:txPr>
            <a:bodyPr/>
            <a:lstStyle/>
            <a:p>
              <a:pPr>
                <a:defRPr/>
              </a:pPr>
              <a:endParaRPr lang="en-US"/>
            </a:p>
          </c:txPr>
          <c:showLegendKey val="0"/>
          <c:showVal val="1"/>
          <c:showCatName val="0"/>
          <c:showSerName val="0"/>
          <c:showPercent val="0"/>
          <c:showBubbleSize val="0"/>
        </c:dLbl>
      </c:pivotFmt>
      <c:pivotFmt>
        <c:idx val="14"/>
        <c:marker>
          <c:symbol val="none"/>
        </c:marker>
        <c:dLbl>
          <c:idx val="0"/>
          <c:spPr/>
          <c:txPr>
            <a:bodyPr/>
            <a:lstStyle/>
            <a:p>
              <a:pPr>
                <a:defRPr/>
              </a:pPr>
              <a:endParaRPr lang="en-US"/>
            </a:p>
          </c:txPr>
          <c:showLegendKey val="0"/>
          <c:showVal val="1"/>
          <c:showCatName val="0"/>
          <c:showSerName val="0"/>
          <c:showPercent val="0"/>
          <c:showBubbleSize val="0"/>
        </c:dLbl>
      </c:pivotFmt>
      <c:pivotFmt>
        <c:idx val="15"/>
        <c:marker>
          <c:symbol val="none"/>
        </c:marker>
        <c:dLbl>
          <c:idx val="0"/>
          <c:spPr/>
          <c:txPr>
            <a:bodyPr/>
            <a:lstStyle/>
            <a:p>
              <a:pPr>
                <a:defRPr/>
              </a:pPr>
              <a:endParaRPr lang="en-US"/>
            </a:p>
          </c:txPr>
          <c:showLegendKey val="0"/>
          <c:showVal val="1"/>
          <c:showCatName val="0"/>
          <c:showSerName val="0"/>
          <c:showPercent val="0"/>
          <c:showBubbleSize val="0"/>
        </c:dLbl>
      </c:pivotFmt>
      <c:pivotFmt>
        <c:idx val="16"/>
        <c:marker>
          <c:symbol val="none"/>
        </c:marker>
        <c:dLbl>
          <c:idx val="0"/>
          <c:spPr/>
          <c:txPr>
            <a:bodyPr/>
            <a:lstStyle/>
            <a:p>
              <a:pPr>
                <a:defRPr/>
              </a:pPr>
              <a:endParaRPr lang="en-US"/>
            </a:p>
          </c:txPr>
          <c:showLegendKey val="0"/>
          <c:showVal val="1"/>
          <c:showCatName val="0"/>
          <c:showSerName val="0"/>
          <c:showPercent val="0"/>
          <c:showBubbleSize val="0"/>
        </c:dLbl>
      </c:pivotFmt>
      <c:pivotFmt>
        <c:idx val="17"/>
        <c:marker>
          <c:symbol val="none"/>
        </c:marker>
        <c:dLbl>
          <c:idx val="0"/>
          <c:spPr/>
          <c:txPr>
            <a:bodyPr/>
            <a:lstStyle/>
            <a:p>
              <a:pPr>
                <a:defRPr/>
              </a:pPr>
              <a:endParaRPr lang="en-US"/>
            </a:p>
          </c:txPr>
          <c:showLegendKey val="0"/>
          <c:showVal val="1"/>
          <c:showCatName val="0"/>
          <c:showSerName val="0"/>
          <c:showPercent val="0"/>
          <c:showBubbleSize val="0"/>
        </c:dLbl>
      </c:pivotFmt>
    </c:pivotFmts>
    <c:plotArea>
      <c:layout/>
      <c:barChart>
        <c:barDir val="col"/>
        <c:grouping val="clustered"/>
        <c:varyColors val="0"/>
        <c:ser>
          <c:idx val="0"/>
          <c:order val="0"/>
          <c:tx>
            <c:strRef>
              <c:f>'MATERNAL ANEMIA'!$B$3:$B$4</c:f>
              <c:strCache>
                <c:ptCount val="1"/>
                <c:pt idx="0">
                  <c:v>CDHS 2000</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'MATERNAL ANEMIA'!$A$5:$A$7</c:f>
              <c:strCache>
                <c:ptCount val="3"/>
                <c:pt idx="0">
                  <c:v>ANY ANEMIA</c:v>
                </c:pt>
                <c:pt idx="1">
                  <c:v>MODERATE ANEMIA</c:v>
                </c:pt>
                <c:pt idx="2">
                  <c:v>SEVERE ANEMIA</c:v>
                </c:pt>
              </c:strCache>
            </c:strRef>
          </c:cat>
          <c:val>
            <c:numRef>
              <c:f>'MATERNAL ANEMIA'!$B$5:$B$7</c:f>
              <c:numCache>
                <c:formatCode>General</c:formatCode>
                <c:ptCount val="3"/>
                <c:pt idx="0">
                  <c:v>57.8</c:v>
                </c:pt>
                <c:pt idx="1">
                  <c:v>12.7</c:v>
                </c:pt>
                <c:pt idx="2">
                  <c:v>1.3</c:v>
                </c:pt>
              </c:numCache>
            </c:numRef>
          </c:val>
        </c:ser>
        <c:ser>
          <c:idx val="1"/>
          <c:order val="1"/>
          <c:tx>
            <c:strRef>
              <c:f>'MATERNAL ANEMIA'!$C$3:$C$4</c:f>
              <c:strCache>
                <c:ptCount val="1"/>
                <c:pt idx="0">
                  <c:v>CDHS 2005</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'MATERNAL ANEMIA'!$A$5:$A$7</c:f>
              <c:strCache>
                <c:ptCount val="3"/>
                <c:pt idx="0">
                  <c:v>ANY ANEMIA</c:v>
                </c:pt>
                <c:pt idx="1">
                  <c:v>MODERATE ANEMIA</c:v>
                </c:pt>
                <c:pt idx="2">
                  <c:v>SEVERE ANEMIA</c:v>
                </c:pt>
              </c:strCache>
            </c:strRef>
          </c:cat>
          <c:val>
            <c:numRef>
              <c:f>'MATERNAL ANEMIA'!$C$5:$C$7</c:f>
              <c:numCache>
                <c:formatCode>General</c:formatCode>
                <c:ptCount val="3"/>
                <c:pt idx="0">
                  <c:v>46.6</c:v>
                </c:pt>
                <c:pt idx="1">
                  <c:v>10.200000000000001</c:v>
                </c:pt>
                <c:pt idx="2">
                  <c:v>1</c:v>
                </c:pt>
              </c:numCache>
            </c:numRef>
          </c:val>
        </c:ser>
        <c:ser>
          <c:idx val="2"/>
          <c:order val="2"/>
          <c:tx>
            <c:strRef>
              <c:f>'MATERNAL ANEMIA'!$D$3:$D$4</c:f>
              <c:strCache>
                <c:ptCount val="1"/>
                <c:pt idx="0">
                  <c:v>CDHS 2010</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'MATERNAL ANEMIA'!$A$5:$A$7</c:f>
              <c:strCache>
                <c:ptCount val="3"/>
                <c:pt idx="0">
                  <c:v>ANY ANEMIA</c:v>
                </c:pt>
                <c:pt idx="1">
                  <c:v>MODERATE ANEMIA</c:v>
                </c:pt>
                <c:pt idx="2">
                  <c:v>SEVERE ANEMIA</c:v>
                </c:pt>
              </c:strCache>
            </c:strRef>
          </c:cat>
          <c:val>
            <c:numRef>
              <c:f>'MATERNAL ANEMIA'!$D$5:$D$7</c:f>
              <c:numCache>
                <c:formatCode>General</c:formatCode>
                <c:ptCount val="3"/>
                <c:pt idx="0">
                  <c:v>44.4</c:v>
                </c:pt>
                <c:pt idx="1">
                  <c:v>7.3</c:v>
                </c:pt>
                <c:pt idx="2">
                  <c:v>0.4</c:v>
                </c:pt>
              </c:numCache>
            </c:numRef>
          </c:val>
        </c:ser>
        <c:dLbls>
          <c:showLegendKey val="0"/>
          <c:showVal val="1"/>
          <c:showCatName val="0"/>
          <c:showSerName val="0"/>
          <c:showPercent val="0"/>
          <c:showBubbleSize val="0"/>
        </c:dLbls>
        <c:gapWidth val="150"/>
        <c:overlap val="-25"/>
        <c:axId val="180370816"/>
        <c:axId val="180380800"/>
      </c:barChart>
      <c:catAx>
        <c:axId val="180370816"/>
        <c:scaling>
          <c:orientation val="minMax"/>
        </c:scaling>
        <c:delete val="0"/>
        <c:axPos val="b"/>
        <c:majorTickMark val="none"/>
        <c:minorTickMark val="none"/>
        <c:tickLblPos val="nextTo"/>
        <c:txPr>
          <a:bodyPr/>
          <a:lstStyle/>
          <a:p>
            <a:pPr>
              <a:defRPr sz="800"/>
            </a:pPr>
            <a:endParaRPr lang="en-US"/>
          </a:p>
        </c:txPr>
        <c:crossAx val="180380800"/>
        <c:crosses val="autoZero"/>
        <c:auto val="1"/>
        <c:lblAlgn val="ctr"/>
        <c:lblOffset val="100"/>
        <c:noMultiLvlLbl val="0"/>
      </c:catAx>
      <c:valAx>
        <c:axId val="180380800"/>
        <c:scaling>
          <c:orientation val="minMax"/>
        </c:scaling>
        <c:delete val="1"/>
        <c:axPos val="l"/>
        <c:numFmt formatCode="General" sourceLinked="1"/>
        <c:majorTickMark val="out"/>
        <c:minorTickMark val="none"/>
        <c:tickLblPos val="nextTo"/>
        <c:crossAx val="180370816"/>
        <c:crosses val="autoZero"/>
        <c:crossBetween val="between"/>
      </c:valAx>
    </c:plotArea>
    <c:legend>
      <c:legendPos val="t"/>
      <c:overlay val="0"/>
      <c:txPr>
        <a:bodyPr/>
        <a:lstStyle/>
        <a:p>
          <a:pPr>
            <a:defRPr sz="800"/>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[2011 NUTRITION HH SURVEY TRENDS.xlsx]WOMAN ANTHRO!PivotTable1</c:name>
    <c:fmtId val="-1"/>
  </c:pivotSource>
  <c:chart>
    <c:title>
      <c:tx>
        <c:rich>
          <a:bodyPr/>
          <a:lstStyle/>
          <a:p>
            <a:pPr>
              <a:defRPr lang="ko-KR" sz="900" b="1" i="0" u="none" strike="noStrike" baseline="0">
                <a:solidFill>
                  <a:srgbClr val="000000"/>
                </a:solidFill>
                <a:latin typeface="Arial"/>
                <a:ea typeface="Arial"/>
                <a:cs typeface="Arial"/>
              </a:defRPr>
            </a:pPr>
            <a:r>
              <a:rPr lang="en-US" sz="900"/>
              <a:t>Percent of thin and short women age 15-49</a:t>
            </a:r>
            <a:r>
              <a:rPr lang="en-US" sz="900" baseline="0"/>
              <a:t> (pregnant women excluded)</a:t>
            </a:r>
            <a:endParaRPr lang="en-US" sz="900"/>
          </a:p>
        </c:rich>
      </c:tx>
      <c:overlay val="0"/>
      <c:spPr>
        <a:noFill/>
        <a:ln w="25400">
          <a:noFill/>
        </a:ln>
      </c:spPr>
    </c:title>
    <c:autoTitleDeleted val="0"/>
    <c:pivotFmts>
      <c:pivotFmt>
        <c:idx val="0"/>
        <c:marker>
          <c:symbol val="none"/>
        </c:marker>
        <c:dLbl>
          <c:idx val="0"/>
          <c:spPr/>
          <c:txPr>
            <a:bodyPr/>
            <a:lstStyle/>
            <a:p>
              <a:pPr>
                <a:defRPr/>
              </a:pPr>
              <a:endParaRPr lang="en-US"/>
            </a:p>
          </c:txPr>
          <c:showLegendKey val="0"/>
          <c:showVal val="1"/>
          <c:showCatName val="0"/>
          <c:showSerName val="0"/>
          <c:showPercent val="0"/>
          <c:showBubbleSize val="0"/>
        </c:dLbl>
      </c:pivotFmt>
      <c:pivotFmt>
        <c:idx val="1"/>
        <c:marker>
          <c:symbol val="none"/>
        </c:marker>
        <c:dLbl>
          <c:idx val="0"/>
          <c:spPr/>
          <c:txPr>
            <a:bodyPr/>
            <a:lstStyle/>
            <a:p>
              <a:pPr>
                <a:defRPr/>
              </a:pPr>
              <a:endParaRPr lang="en-US"/>
            </a:p>
          </c:txPr>
          <c:showLegendKey val="0"/>
          <c:showVal val="1"/>
          <c:showCatName val="0"/>
          <c:showSerName val="0"/>
          <c:showPercent val="0"/>
          <c:showBubbleSize val="0"/>
        </c:dLbl>
      </c:pivotFmt>
      <c:pivotFmt>
        <c:idx val="2"/>
        <c:marker>
          <c:symbol val="none"/>
        </c:marker>
        <c:dLbl>
          <c:idx val="0"/>
          <c:spPr/>
          <c:txPr>
            <a:bodyPr/>
            <a:lstStyle/>
            <a:p>
              <a:pPr>
                <a:defRPr/>
              </a:pPr>
              <a:endParaRPr lang="en-US"/>
            </a:p>
          </c:txPr>
          <c:showLegendKey val="0"/>
          <c:showVal val="1"/>
          <c:showCatName val="0"/>
          <c:showSerName val="0"/>
          <c:showPercent val="0"/>
          <c:showBubbleSize val="0"/>
        </c:dLbl>
      </c:pivotFmt>
      <c:pivotFmt>
        <c:idx val="3"/>
        <c:marker>
          <c:symbol val="none"/>
        </c:marker>
        <c:dLbl>
          <c:idx val="0"/>
          <c:spPr/>
          <c:txPr>
            <a:bodyPr/>
            <a:lstStyle/>
            <a:p>
              <a:pPr>
                <a:defRPr/>
              </a:pPr>
              <a:endParaRPr lang="en-US"/>
            </a:p>
          </c:txPr>
          <c:showLegendKey val="0"/>
          <c:showVal val="1"/>
          <c:showCatName val="0"/>
          <c:showSerName val="0"/>
          <c:showPercent val="0"/>
          <c:showBubbleSize val="0"/>
        </c:dLbl>
      </c:pivotFmt>
      <c:pivotFmt>
        <c:idx val="4"/>
        <c:marker>
          <c:symbol val="none"/>
        </c:marker>
        <c:dLbl>
          <c:idx val="0"/>
          <c:spPr/>
          <c:txPr>
            <a:bodyPr/>
            <a:lstStyle/>
            <a:p>
              <a:pPr>
                <a:defRPr/>
              </a:pPr>
              <a:endParaRPr lang="en-US"/>
            </a:p>
          </c:txPr>
          <c:showLegendKey val="0"/>
          <c:showVal val="1"/>
          <c:showCatName val="0"/>
          <c:showSerName val="0"/>
          <c:showPercent val="0"/>
          <c:showBubbleSize val="0"/>
        </c:dLbl>
      </c:pivotFmt>
      <c:pivotFmt>
        <c:idx val="5"/>
        <c:marker>
          <c:symbol val="none"/>
        </c:marker>
        <c:dLbl>
          <c:idx val="0"/>
          <c:spPr/>
          <c:txPr>
            <a:bodyPr/>
            <a:lstStyle/>
            <a:p>
              <a:pPr>
                <a:defRPr/>
              </a:pPr>
              <a:endParaRPr lang="en-US"/>
            </a:p>
          </c:txPr>
          <c:showLegendKey val="0"/>
          <c:showVal val="1"/>
          <c:showCatName val="0"/>
          <c:showSerName val="0"/>
          <c:showPercent val="0"/>
          <c:showBubbleSize val="0"/>
        </c:dLbl>
      </c:pivotFmt>
      <c:pivotFmt>
        <c:idx val="6"/>
        <c:marker>
          <c:symbol val="none"/>
        </c:marker>
        <c:dLbl>
          <c:idx val="0"/>
          <c:spPr/>
          <c:txPr>
            <a:bodyPr/>
            <a:lstStyle/>
            <a:p>
              <a:pPr>
                <a:defRPr/>
              </a:pPr>
              <a:endParaRPr lang="en-US"/>
            </a:p>
          </c:txPr>
          <c:showLegendKey val="0"/>
          <c:showVal val="1"/>
          <c:showCatName val="0"/>
          <c:showSerName val="0"/>
          <c:showPercent val="0"/>
          <c:showBubbleSize val="0"/>
        </c:dLbl>
      </c:pivotFmt>
      <c:pivotFmt>
        <c:idx val="7"/>
        <c:marker>
          <c:symbol val="none"/>
        </c:marker>
        <c:dLbl>
          <c:idx val="0"/>
          <c:spPr/>
          <c:txPr>
            <a:bodyPr/>
            <a:lstStyle/>
            <a:p>
              <a:pPr>
                <a:defRPr/>
              </a:pPr>
              <a:endParaRPr lang="en-US"/>
            </a:p>
          </c:txPr>
          <c:showLegendKey val="0"/>
          <c:showVal val="1"/>
          <c:showCatName val="0"/>
          <c:showSerName val="0"/>
          <c:showPercent val="0"/>
          <c:showBubbleSize val="0"/>
        </c:dLbl>
      </c:pivotFmt>
      <c:pivotFmt>
        <c:idx val="8"/>
        <c:marker>
          <c:symbol val="none"/>
        </c:marker>
        <c:dLbl>
          <c:idx val="0"/>
          <c:spPr/>
          <c:txPr>
            <a:bodyPr/>
            <a:lstStyle/>
            <a:p>
              <a:pPr>
                <a:defRPr/>
              </a:pPr>
              <a:endParaRPr lang="en-US"/>
            </a:p>
          </c:txPr>
          <c:showLegendKey val="0"/>
          <c:showVal val="1"/>
          <c:showCatName val="0"/>
          <c:showSerName val="0"/>
          <c:showPercent val="0"/>
          <c:showBubbleSize val="0"/>
        </c:dLbl>
      </c:pivotFmt>
      <c:pivotFmt>
        <c:idx val="9"/>
        <c:marker>
          <c:symbol val="none"/>
        </c:marker>
        <c:dLbl>
          <c:idx val="0"/>
          <c:spPr/>
          <c:txPr>
            <a:bodyPr/>
            <a:lstStyle/>
            <a:p>
              <a:pPr>
                <a:defRPr/>
              </a:pPr>
              <a:endParaRPr lang="en-US"/>
            </a:p>
          </c:txPr>
          <c:showLegendKey val="0"/>
          <c:showVal val="1"/>
          <c:showCatName val="0"/>
          <c:showSerName val="0"/>
          <c:showPercent val="0"/>
          <c:showBubbleSize val="0"/>
        </c:dLbl>
      </c:pivotFmt>
      <c:pivotFmt>
        <c:idx val="10"/>
        <c:marker>
          <c:symbol val="none"/>
        </c:marker>
        <c:dLbl>
          <c:idx val="0"/>
          <c:spPr/>
          <c:txPr>
            <a:bodyPr/>
            <a:lstStyle/>
            <a:p>
              <a:pPr>
                <a:defRPr/>
              </a:pPr>
              <a:endParaRPr lang="en-US"/>
            </a:p>
          </c:txPr>
          <c:showLegendKey val="0"/>
          <c:showVal val="1"/>
          <c:showCatName val="0"/>
          <c:showSerName val="0"/>
          <c:showPercent val="0"/>
          <c:showBubbleSize val="0"/>
        </c:dLbl>
      </c:pivotFmt>
      <c:pivotFmt>
        <c:idx val="11"/>
        <c:marker>
          <c:symbol val="none"/>
        </c:marker>
        <c:dLbl>
          <c:idx val="0"/>
          <c:spPr/>
          <c:txPr>
            <a:bodyPr/>
            <a:lstStyle/>
            <a:p>
              <a:pPr>
                <a:defRPr/>
              </a:pPr>
              <a:endParaRPr lang="en-US"/>
            </a:p>
          </c:txPr>
          <c:showLegendKey val="0"/>
          <c:showVal val="1"/>
          <c:showCatName val="0"/>
          <c:showSerName val="0"/>
          <c:showPercent val="0"/>
          <c:showBubbleSize val="0"/>
        </c:dLbl>
      </c:pivotFmt>
      <c:pivotFmt>
        <c:idx val="12"/>
        <c:marker>
          <c:symbol val="none"/>
        </c:marker>
        <c:dLbl>
          <c:idx val="0"/>
          <c:spPr/>
          <c:txPr>
            <a:bodyPr/>
            <a:lstStyle/>
            <a:p>
              <a:pPr>
                <a:defRPr/>
              </a:pPr>
              <a:endParaRPr lang="en-US"/>
            </a:p>
          </c:txPr>
          <c:showLegendKey val="0"/>
          <c:showVal val="1"/>
          <c:showCatName val="0"/>
          <c:showSerName val="0"/>
          <c:showPercent val="0"/>
          <c:showBubbleSize val="0"/>
        </c:dLbl>
      </c:pivotFmt>
      <c:pivotFmt>
        <c:idx val="13"/>
        <c:marker>
          <c:symbol val="none"/>
        </c:marker>
        <c:dLbl>
          <c:idx val="0"/>
          <c:spPr/>
          <c:txPr>
            <a:bodyPr/>
            <a:lstStyle/>
            <a:p>
              <a:pPr>
                <a:defRPr/>
              </a:pPr>
              <a:endParaRPr lang="en-US"/>
            </a:p>
          </c:txPr>
          <c:showLegendKey val="0"/>
          <c:showVal val="1"/>
          <c:showCatName val="0"/>
          <c:showSerName val="0"/>
          <c:showPercent val="0"/>
          <c:showBubbleSize val="0"/>
        </c:dLbl>
      </c:pivotFmt>
    </c:pivotFmts>
    <c:plotArea>
      <c:layout/>
      <c:barChart>
        <c:barDir val="col"/>
        <c:grouping val="clustered"/>
        <c:varyColors val="0"/>
        <c:ser>
          <c:idx val="0"/>
          <c:order val="0"/>
          <c:tx>
            <c:strRef>
              <c:f>'WOMAN ANTHRO'!$B$3:$B$4</c:f>
              <c:strCache>
                <c:ptCount val="1"/>
                <c:pt idx="0">
                  <c:v>CDHS 2000</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'WOMAN ANTHRO'!$A$5:$A$6</c:f>
              <c:strCache>
                <c:ptCount val="2"/>
                <c:pt idx="0">
                  <c:v>BMI&lt;18.5</c:v>
                </c:pt>
                <c:pt idx="1">
                  <c:v>Height &lt;145</c:v>
                </c:pt>
              </c:strCache>
            </c:strRef>
          </c:cat>
          <c:val>
            <c:numRef>
              <c:f>'WOMAN ANTHRO'!$B$5:$B$6</c:f>
              <c:numCache>
                <c:formatCode>General</c:formatCode>
                <c:ptCount val="2"/>
                <c:pt idx="0">
                  <c:v>20.7</c:v>
                </c:pt>
                <c:pt idx="1">
                  <c:v>5.5</c:v>
                </c:pt>
              </c:numCache>
            </c:numRef>
          </c:val>
        </c:ser>
        <c:ser>
          <c:idx val="1"/>
          <c:order val="1"/>
          <c:tx>
            <c:strRef>
              <c:f>'WOMAN ANTHRO'!$C$3:$C$4</c:f>
              <c:strCache>
                <c:ptCount val="1"/>
                <c:pt idx="0">
                  <c:v>CDHS 2005</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'WOMAN ANTHRO'!$A$5:$A$6</c:f>
              <c:strCache>
                <c:ptCount val="2"/>
                <c:pt idx="0">
                  <c:v>BMI&lt;18.5</c:v>
                </c:pt>
                <c:pt idx="1">
                  <c:v>Height &lt;145</c:v>
                </c:pt>
              </c:strCache>
            </c:strRef>
          </c:cat>
          <c:val>
            <c:numRef>
              <c:f>'WOMAN ANTHRO'!$C$5:$C$6</c:f>
              <c:numCache>
                <c:formatCode>General</c:formatCode>
                <c:ptCount val="2"/>
                <c:pt idx="0">
                  <c:v>19.100000000000001</c:v>
                </c:pt>
                <c:pt idx="1">
                  <c:v>7.2</c:v>
                </c:pt>
              </c:numCache>
            </c:numRef>
          </c:val>
        </c:ser>
        <c:ser>
          <c:idx val="2"/>
          <c:order val="2"/>
          <c:tx>
            <c:strRef>
              <c:f>'WOMAN ANTHRO'!$D$3:$D$4</c:f>
              <c:strCache>
                <c:ptCount val="1"/>
                <c:pt idx="0">
                  <c:v>CAS 2008</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'WOMAN ANTHRO'!$A$5:$A$6</c:f>
              <c:strCache>
                <c:ptCount val="2"/>
                <c:pt idx="0">
                  <c:v>BMI&lt;18.5</c:v>
                </c:pt>
                <c:pt idx="1">
                  <c:v>Height &lt;145</c:v>
                </c:pt>
              </c:strCache>
            </c:strRef>
          </c:cat>
          <c:val>
            <c:numRef>
              <c:f>'WOMAN ANTHRO'!$D$5:$D$6</c:f>
              <c:numCache>
                <c:formatCode>General</c:formatCode>
                <c:ptCount val="2"/>
                <c:pt idx="0">
                  <c:v>16.100000000000001</c:v>
                </c:pt>
                <c:pt idx="1">
                  <c:v>6.3</c:v>
                </c:pt>
              </c:numCache>
            </c:numRef>
          </c:val>
        </c:ser>
        <c:ser>
          <c:idx val="3"/>
          <c:order val="3"/>
          <c:tx>
            <c:strRef>
              <c:f>'WOMAN ANTHRO'!$E$3:$E$4</c:f>
              <c:strCache>
                <c:ptCount val="1"/>
                <c:pt idx="0">
                  <c:v>CDHS 2010</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'WOMAN ANTHRO'!$A$5:$A$6</c:f>
              <c:strCache>
                <c:ptCount val="2"/>
                <c:pt idx="0">
                  <c:v>BMI&lt;18.5</c:v>
                </c:pt>
                <c:pt idx="1">
                  <c:v>Height &lt;145</c:v>
                </c:pt>
              </c:strCache>
            </c:strRef>
          </c:cat>
          <c:val>
            <c:numRef>
              <c:f>'WOMAN ANTHRO'!$E$5:$E$6</c:f>
              <c:numCache>
                <c:formatCode>General</c:formatCode>
                <c:ptCount val="2"/>
                <c:pt idx="0">
                  <c:v>19.100000000000001</c:v>
                </c:pt>
                <c:pt idx="1">
                  <c:v>6.3</c:v>
                </c:pt>
              </c:numCache>
            </c:numRef>
          </c:val>
        </c:ser>
        <c:dLbls>
          <c:showLegendKey val="0"/>
          <c:showVal val="1"/>
          <c:showCatName val="0"/>
          <c:showSerName val="0"/>
          <c:showPercent val="0"/>
          <c:showBubbleSize val="0"/>
        </c:dLbls>
        <c:gapWidth val="150"/>
        <c:overlap val="-25"/>
        <c:axId val="172223104"/>
        <c:axId val="172429696"/>
      </c:barChart>
      <c:catAx>
        <c:axId val="172223104"/>
        <c:scaling>
          <c:orientation val="minMax"/>
        </c:scaling>
        <c:delete val="0"/>
        <c:axPos val="b"/>
        <c:numFmt formatCode="General" sourceLinked="1"/>
        <c:majorTickMark val="none"/>
        <c:minorTickMark val="none"/>
        <c:tickLblPos val="nextTo"/>
        <c:txPr>
          <a:bodyPr/>
          <a:lstStyle/>
          <a:p>
            <a:pPr>
              <a:defRPr sz="800"/>
            </a:pPr>
            <a:endParaRPr lang="en-US"/>
          </a:p>
        </c:txPr>
        <c:crossAx val="172429696"/>
        <c:crosses val="autoZero"/>
        <c:auto val="1"/>
        <c:lblAlgn val="ctr"/>
        <c:lblOffset val="100"/>
        <c:tickLblSkip val="1"/>
        <c:tickMarkSkip val="1"/>
        <c:noMultiLvlLbl val="0"/>
      </c:catAx>
      <c:valAx>
        <c:axId val="172429696"/>
        <c:scaling>
          <c:orientation val="minMax"/>
        </c:scaling>
        <c:delete val="1"/>
        <c:axPos val="l"/>
        <c:numFmt formatCode="0%" sourceLinked="0"/>
        <c:majorTickMark val="none"/>
        <c:minorTickMark val="none"/>
        <c:tickLblPos val="none"/>
        <c:crossAx val="172223104"/>
        <c:crosses val="autoZero"/>
        <c:crossBetween val="between"/>
      </c:valAx>
      <c:spPr>
        <a:noFill/>
        <a:ln w="12700">
          <a:solidFill>
            <a:srgbClr val="808080"/>
          </a:solidFill>
          <a:prstDash val="solid"/>
        </a:ln>
      </c:spPr>
    </c:plotArea>
    <c:legend>
      <c:legendPos val="t"/>
      <c:overlay val="0"/>
      <c:spPr>
        <a:solidFill>
          <a:srgbClr val="FFFFFF"/>
        </a:solidFill>
        <a:ln w="3175">
          <a:solidFill>
            <a:srgbClr val="000000"/>
          </a:solidFill>
          <a:prstDash val="solid"/>
        </a:ln>
      </c:spPr>
      <c:txPr>
        <a:bodyPr/>
        <a:lstStyle/>
        <a:p>
          <a:pPr>
            <a:defRPr lang="ko-K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[NUTRITION HH SURVEY TRENDS.xlsx]WOMAN MICRO SUPP!PivotTable2</c:name>
    <c:fmtId val="-1"/>
  </c:pivotSource>
  <c:chart>
    <c:title>
      <c:tx>
        <c:rich>
          <a:bodyPr/>
          <a:lstStyle/>
          <a:p>
            <a:pPr>
              <a:defRPr sz="900"/>
            </a:pPr>
            <a:r>
              <a:rPr lang="en-US" sz="900"/>
              <a:t>Postpartum IFA supplementation in Cambodia, 2005-2010</a:t>
            </a:r>
          </a:p>
        </c:rich>
      </c:tx>
      <c:overlay val="0"/>
    </c:title>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pivotFmt>
      <c:pivotFmt>
        <c:idx val="5"/>
        <c:marker>
          <c:symbol val="none"/>
        </c:marker>
      </c:pivotFmt>
      <c:pivotFmt>
        <c:idx val="6"/>
      </c:pivotFmt>
      <c:pivotFmt>
        <c:idx val="7"/>
        <c:marker>
          <c:symbol val="none"/>
        </c:marker>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dLbl>
          <c:idx val="0"/>
          <c:showLegendKey val="0"/>
          <c:showVal val="1"/>
          <c:showCatName val="0"/>
          <c:showSerName val="0"/>
          <c:showPercent val="0"/>
          <c:showBubbleSize val="0"/>
        </c:dLbl>
      </c:pivotFmt>
      <c:pivotFmt>
        <c:idx val="26"/>
        <c:marker>
          <c:symbol val="none"/>
        </c:marker>
        <c:dLbl>
          <c:idx val="0"/>
          <c:showLegendKey val="0"/>
          <c:showVal val="1"/>
          <c:showCatName val="0"/>
          <c:showSerName val="0"/>
          <c:showPercent val="0"/>
          <c:showBubbleSize val="0"/>
        </c:dLbl>
      </c:pivotFmt>
      <c:pivotFmt>
        <c:idx val="27"/>
        <c:marker>
          <c:symbol val="none"/>
        </c:marker>
        <c:dLbl>
          <c:idx val="0"/>
          <c:showLegendKey val="0"/>
          <c:showVal val="1"/>
          <c:showCatName val="0"/>
          <c:showSerName val="0"/>
          <c:showPercent val="0"/>
          <c:showBubbleSize val="0"/>
        </c:dLbl>
      </c:pivotFmt>
      <c:pivotFmt>
        <c:idx val="28"/>
        <c:marker>
          <c:symbol val="none"/>
        </c:marker>
        <c:dLbl>
          <c:idx val="0"/>
          <c:showLegendKey val="0"/>
          <c:showVal val="1"/>
          <c:showCatName val="0"/>
          <c:showSerName val="0"/>
          <c:showPercent val="0"/>
          <c:showBubbleSize val="0"/>
        </c:dLbl>
      </c:pivotFmt>
      <c:pivotFmt>
        <c:idx val="29"/>
        <c:marker>
          <c:symbol val="none"/>
        </c:marker>
        <c:dLbl>
          <c:idx val="0"/>
          <c:showLegendKey val="0"/>
          <c:showVal val="1"/>
          <c:showCatName val="0"/>
          <c:showSerName val="0"/>
          <c:showPercent val="0"/>
          <c:showBubbleSize val="0"/>
        </c:dLbl>
      </c:pivotFmt>
      <c:pivotFmt>
        <c:idx val="30"/>
        <c:marker>
          <c:symbol val="none"/>
        </c:marker>
        <c:dLbl>
          <c:idx val="0"/>
          <c:spPr/>
          <c:txPr>
            <a:bodyPr/>
            <a:lstStyle/>
            <a:p>
              <a:pPr>
                <a:defRPr/>
              </a:pPr>
              <a:endParaRPr lang="en-US"/>
            </a:p>
          </c:txPr>
          <c:showLegendKey val="0"/>
          <c:showVal val="1"/>
          <c:showCatName val="0"/>
          <c:showSerName val="0"/>
          <c:showPercent val="0"/>
          <c:showBubbleSize val="0"/>
        </c:dLbl>
      </c:pivotFmt>
      <c:pivotFmt>
        <c:idx val="31"/>
        <c:marker>
          <c:symbol val="none"/>
        </c:marker>
        <c:dLbl>
          <c:idx val="0"/>
          <c:spPr/>
          <c:txPr>
            <a:bodyPr/>
            <a:lstStyle/>
            <a:p>
              <a:pPr>
                <a:defRPr/>
              </a:pPr>
              <a:endParaRPr lang="en-US"/>
            </a:p>
          </c:txPr>
          <c:showLegendKey val="0"/>
          <c:showVal val="1"/>
          <c:showCatName val="0"/>
          <c:showSerName val="0"/>
          <c:showPercent val="0"/>
          <c:showBubbleSize val="0"/>
        </c:dLbl>
      </c:pivotFmt>
      <c:pivotFmt>
        <c:idx val="32"/>
        <c:marker>
          <c:symbol val="none"/>
        </c:marker>
        <c:dLbl>
          <c:idx val="0"/>
          <c:spPr/>
          <c:txPr>
            <a:bodyPr/>
            <a:lstStyle/>
            <a:p>
              <a:pPr>
                <a:defRPr/>
              </a:pPr>
              <a:endParaRPr lang="en-US"/>
            </a:p>
          </c:txPr>
          <c:showLegendKey val="0"/>
          <c:showVal val="1"/>
          <c:showCatName val="0"/>
          <c:showSerName val="0"/>
          <c:showPercent val="0"/>
          <c:showBubbleSize val="0"/>
        </c:dLbl>
      </c:pivotFmt>
      <c:pivotFmt>
        <c:idx val="33"/>
        <c:marker>
          <c:symbol val="none"/>
        </c:marker>
        <c:dLbl>
          <c:idx val="0"/>
          <c:spPr/>
          <c:txPr>
            <a:bodyPr/>
            <a:lstStyle/>
            <a:p>
              <a:pPr>
                <a:defRPr/>
              </a:pPr>
              <a:endParaRPr lang="en-US"/>
            </a:p>
          </c:txPr>
          <c:showLegendKey val="0"/>
          <c:showVal val="1"/>
          <c:showCatName val="0"/>
          <c:showSerName val="0"/>
          <c:showPercent val="0"/>
          <c:showBubbleSize val="0"/>
        </c:dLbl>
      </c:pivotFmt>
      <c:pivotFmt>
        <c:idx val="34"/>
        <c:marker>
          <c:symbol val="none"/>
        </c:marker>
        <c:dLbl>
          <c:idx val="0"/>
          <c:spPr/>
          <c:txPr>
            <a:bodyPr/>
            <a:lstStyle/>
            <a:p>
              <a:pPr>
                <a:defRPr/>
              </a:pPr>
              <a:endParaRPr lang="en-US"/>
            </a:p>
          </c:txPr>
          <c:showLegendKey val="0"/>
          <c:showVal val="1"/>
          <c:showCatName val="0"/>
          <c:showSerName val="0"/>
          <c:showPercent val="0"/>
          <c:showBubbleSize val="0"/>
        </c:dLbl>
      </c:pivotFmt>
      <c:pivotFmt>
        <c:idx val="35"/>
        <c:dLbl>
          <c:idx val="0"/>
          <c:spPr/>
          <c:txPr>
            <a:bodyPr/>
            <a:lstStyle/>
            <a:p>
              <a:pPr>
                <a:defRPr/>
              </a:pPr>
              <a:endParaRPr lang="en-US"/>
            </a:p>
          </c:txPr>
          <c:showLegendKey val="0"/>
          <c:showVal val="1"/>
          <c:showCatName val="0"/>
          <c:showSerName val="0"/>
          <c:showPercent val="0"/>
          <c:showBubbleSize val="0"/>
        </c:dLbl>
      </c:pivotFmt>
      <c:pivotFmt>
        <c:idx val="36"/>
        <c:marker>
          <c:symbol val="none"/>
        </c:marker>
        <c:dLbl>
          <c:idx val="0"/>
          <c:spPr/>
          <c:txPr>
            <a:bodyPr/>
            <a:lstStyle/>
            <a:p>
              <a:pPr>
                <a:defRPr/>
              </a:pPr>
              <a:endParaRPr lang="en-US"/>
            </a:p>
          </c:txPr>
          <c:showLegendKey val="0"/>
          <c:showVal val="1"/>
          <c:showCatName val="0"/>
          <c:showSerName val="0"/>
          <c:showPercent val="0"/>
          <c:showBubbleSize val="0"/>
        </c:dLbl>
      </c:pivotFmt>
      <c:pivotFmt>
        <c:idx val="37"/>
        <c:marker>
          <c:symbol val="none"/>
        </c:marker>
        <c:dLbl>
          <c:idx val="0"/>
          <c:spPr/>
          <c:txPr>
            <a:bodyPr/>
            <a:lstStyle/>
            <a:p>
              <a:pPr>
                <a:defRPr/>
              </a:pPr>
              <a:endParaRPr lang="en-US"/>
            </a:p>
          </c:txPr>
          <c:showLegendKey val="0"/>
          <c:showVal val="1"/>
          <c:showCatName val="0"/>
          <c:showSerName val="0"/>
          <c:showPercent val="0"/>
          <c:showBubbleSize val="0"/>
        </c:dLbl>
      </c:pivotFmt>
      <c:pivotFmt>
        <c:idx val="38"/>
        <c:marker>
          <c:symbol val="none"/>
        </c:marker>
        <c:dLbl>
          <c:idx val="0"/>
          <c:spPr/>
          <c:txPr>
            <a:bodyPr/>
            <a:lstStyle/>
            <a:p>
              <a:pPr>
                <a:defRPr/>
              </a:pPr>
              <a:endParaRPr lang="en-US"/>
            </a:p>
          </c:txPr>
          <c:showLegendKey val="0"/>
          <c:showVal val="1"/>
          <c:showCatName val="0"/>
          <c:showSerName val="0"/>
          <c:showPercent val="0"/>
          <c:showBubbleSize val="0"/>
        </c:dLbl>
      </c:pivotFmt>
      <c:pivotFmt>
        <c:idx val="39"/>
        <c:marker>
          <c:symbol val="none"/>
        </c:marker>
        <c:dLbl>
          <c:idx val="0"/>
          <c:spPr/>
          <c:txPr>
            <a:bodyPr/>
            <a:lstStyle/>
            <a:p>
              <a:pPr>
                <a:defRPr/>
              </a:pPr>
              <a:endParaRPr lang="en-US"/>
            </a:p>
          </c:txPr>
          <c:showLegendKey val="0"/>
          <c:showVal val="1"/>
          <c:showCatName val="0"/>
          <c:showSerName val="0"/>
          <c:showPercent val="0"/>
          <c:showBubbleSize val="0"/>
        </c:dLbl>
      </c:pivotFmt>
      <c:pivotFmt>
        <c:idx val="40"/>
        <c:marker>
          <c:symbol val="none"/>
        </c:marker>
        <c:dLbl>
          <c:idx val="0"/>
          <c:spPr/>
          <c:txPr>
            <a:bodyPr/>
            <a:lstStyle/>
            <a:p>
              <a:pPr>
                <a:defRPr/>
              </a:pPr>
              <a:endParaRPr lang="en-US"/>
            </a:p>
          </c:txPr>
          <c:showLegendKey val="0"/>
          <c:showVal val="1"/>
          <c:showCatName val="0"/>
          <c:showSerName val="0"/>
          <c:showPercent val="0"/>
          <c:showBubbleSize val="0"/>
        </c:dLbl>
      </c:pivotFmt>
      <c:pivotFmt>
        <c:idx val="41"/>
        <c:marker>
          <c:symbol val="none"/>
        </c:marker>
        <c:dLbl>
          <c:idx val="0"/>
          <c:spPr/>
          <c:txPr>
            <a:bodyPr/>
            <a:lstStyle/>
            <a:p>
              <a:pPr>
                <a:defRPr/>
              </a:pPr>
              <a:endParaRPr lang="en-US"/>
            </a:p>
          </c:txPr>
          <c:showLegendKey val="0"/>
          <c:showVal val="1"/>
          <c:showCatName val="0"/>
          <c:showSerName val="0"/>
          <c:showPercent val="0"/>
          <c:showBubbleSize val="0"/>
        </c:dLbl>
      </c:pivotFmt>
      <c:pivotFmt>
        <c:idx val="42"/>
        <c:marker>
          <c:symbol val="none"/>
        </c:marker>
        <c:dLbl>
          <c:idx val="0"/>
          <c:spPr/>
          <c:txPr>
            <a:bodyPr/>
            <a:lstStyle/>
            <a:p>
              <a:pPr>
                <a:defRPr/>
              </a:pPr>
              <a:endParaRPr lang="en-US"/>
            </a:p>
          </c:txPr>
          <c:showLegendKey val="0"/>
          <c:showVal val="1"/>
          <c:showCatName val="0"/>
          <c:showSerName val="0"/>
          <c:showPercent val="0"/>
          <c:showBubbleSize val="0"/>
        </c:dLbl>
      </c:pivotFmt>
      <c:pivotFmt>
        <c:idx val="43"/>
        <c:marker>
          <c:symbol val="none"/>
        </c:marker>
        <c:dLbl>
          <c:idx val="0"/>
          <c:spPr/>
          <c:txPr>
            <a:bodyPr/>
            <a:lstStyle/>
            <a:p>
              <a:pPr>
                <a:defRPr/>
              </a:pPr>
              <a:endParaRPr lang="en-US"/>
            </a:p>
          </c:txPr>
          <c:showLegendKey val="0"/>
          <c:showVal val="1"/>
          <c:showCatName val="0"/>
          <c:showSerName val="0"/>
          <c:showPercent val="0"/>
          <c:showBubbleSize val="0"/>
        </c:dLbl>
      </c:pivotFmt>
      <c:pivotFmt>
        <c:idx val="44"/>
        <c:marker>
          <c:symbol val="none"/>
        </c:marker>
        <c:dLbl>
          <c:idx val="0"/>
          <c:spPr/>
          <c:txPr>
            <a:bodyPr/>
            <a:lstStyle/>
            <a:p>
              <a:pPr>
                <a:defRPr/>
              </a:pPr>
              <a:endParaRPr lang="en-US"/>
            </a:p>
          </c:txPr>
          <c:showLegendKey val="0"/>
          <c:showVal val="1"/>
          <c:showCatName val="0"/>
          <c:showSerName val="0"/>
          <c:showPercent val="0"/>
          <c:showBubbleSize val="0"/>
        </c:dLbl>
      </c:pivotFmt>
      <c:pivotFmt>
        <c:idx val="45"/>
        <c:marker>
          <c:symbol val="none"/>
        </c:marker>
        <c:dLbl>
          <c:idx val="0"/>
          <c:spPr/>
          <c:txPr>
            <a:bodyPr/>
            <a:lstStyle/>
            <a:p>
              <a:pPr>
                <a:defRPr/>
              </a:pPr>
              <a:endParaRPr lang="en-US"/>
            </a:p>
          </c:txPr>
          <c:showLegendKey val="0"/>
          <c:showVal val="1"/>
          <c:showCatName val="0"/>
          <c:showSerName val="0"/>
          <c:showPercent val="0"/>
          <c:showBubbleSize val="0"/>
        </c:dLbl>
      </c:pivotFmt>
      <c:pivotFmt>
        <c:idx val="46"/>
        <c:marker>
          <c:symbol val="none"/>
        </c:marker>
        <c:dLbl>
          <c:idx val="0"/>
          <c:spPr/>
          <c:txPr>
            <a:bodyPr/>
            <a:lstStyle/>
            <a:p>
              <a:pPr>
                <a:defRPr/>
              </a:pPr>
              <a:endParaRPr lang="en-US"/>
            </a:p>
          </c:txPr>
          <c:showLegendKey val="0"/>
          <c:showVal val="1"/>
          <c:showCatName val="0"/>
          <c:showSerName val="0"/>
          <c:showPercent val="0"/>
          <c:showBubbleSize val="0"/>
        </c:dLbl>
      </c:pivotFmt>
      <c:pivotFmt>
        <c:idx val="47"/>
        <c:marker>
          <c:symbol val="none"/>
        </c:marker>
        <c:dLbl>
          <c:idx val="0"/>
          <c:spPr/>
          <c:txPr>
            <a:bodyPr/>
            <a:lstStyle/>
            <a:p>
              <a:pPr>
                <a:defRPr/>
              </a:pPr>
              <a:endParaRPr lang="en-US"/>
            </a:p>
          </c:txPr>
          <c:showLegendKey val="0"/>
          <c:showVal val="1"/>
          <c:showCatName val="0"/>
          <c:showSerName val="0"/>
          <c:showPercent val="0"/>
          <c:showBubbleSize val="0"/>
        </c:dLbl>
      </c:pivotFmt>
    </c:pivotFmts>
    <c:plotArea>
      <c:layout/>
      <c:barChart>
        <c:barDir val="col"/>
        <c:grouping val="clustered"/>
        <c:varyColors val="0"/>
        <c:ser>
          <c:idx val="0"/>
          <c:order val="0"/>
          <c:tx>
            <c:strRef>
              <c:f>'WOMAN MICRO SUPP'!$B$3:$B$4</c:f>
              <c:strCache>
                <c:ptCount val="1"/>
                <c:pt idx="0">
                  <c:v>CDHS 2005</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'WOMAN MICRO SUPP'!$A$5</c:f>
              <c:strCache>
                <c:ptCount val="1"/>
                <c:pt idx="0">
                  <c:v>Total</c:v>
                </c:pt>
              </c:strCache>
            </c:strRef>
          </c:cat>
          <c:val>
            <c:numRef>
              <c:f>'WOMAN MICRO SUPP'!$B$5</c:f>
              <c:numCache>
                <c:formatCode>General</c:formatCode>
                <c:ptCount val="1"/>
                <c:pt idx="0">
                  <c:v>10.5</c:v>
                </c:pt>
              </c:numCache>
            </c:numRef>
          </c:val>
        </c:ser>
        <c:ser>
          <c:idx val="1"/>
          <c:order val="1"/>
          <c:tx>
            <c:strRef>
              <c:f>'WOMAN MICRO SUPP'!$C$3:$C$4</c:f>
              <c:strCache>
                <c:ptCount val="1"/>
                <c:pt idx="0">
                  <c:v>CAS 2008</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'WOMAN MICRO SUPP'!$A$5</c:f>
              <c:strCache>
                <c:ptCount val="1"/>
                <c:pt idx="0">
                  <c:v>Total</c:v>
                </c:pt>
              </c:strCache>
            </c:strRef>
          </c:cat>
          <c:val>
            <c:numRef>
              <c:f>'WOMAN MICRO SUPP'!$C$5</c:f>
              <c:numCache>
                <c:formatCode>General</c:formatCode>
                <c:ptCount val="1"/>
                <c:pt idx="0">
                  <c:v>33.200000000000003</c:v>
                </c:pt>
              </c:numCache>
            </c:numRef>
          </c:val>
        </c:ser>
        <c:ser>
          <c:idx val="2"/>
          <c:order val="2"/>
          <c:tx>
            <c:strRef>
              <c:f>'WOMAN MICRO SUPP'!$D$3:$D$4</c:f>
              <c:strCache>
                <c:ptCount val="1"/>
                <c:pt idx="0">
                  <c:v>CSES 2009</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'WOMAN MICRO SUPP'!$A$5</c:f>
              <c:strCache>
                <c:ptCount val="1"/>
                <c:pt idx="0">
                  <c:v>Total</c:v>
                </c:pt>
              </c:strCache>
            </c:strRef>
          </c:cat>
          <c:val>
            <c:numRef>
              <c:f>'WOMAN MICRO SUPP'!$D$5</c:f>
              <c:numCache>
                <c:formatCode>General</c:formatCode>
                <c:ptCount val="1"/>
                <c:pt idx="0">
                  <c:v>55.2</c:v>
                </c:pt>
              </c:numCache>
            </c:numRef>
          </c:val>
        </c:ser>
        <c:ser>
          <c:idx val="3"/>
          <c:order val="3"/>
          <c:tx>
            <c:strRef>
              <c:f>'WOMAN MICRO SUPP'!$E$3:$E$4</c:f>
              <c:strCache>
                <c:ptCount val="1"/>
                <c:pt idx="0">
                  <c:v>CDHS 2010</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'WOMAN MICRO SUPP'!$A$5</c:f>
              <c:strCache>
                <c:ptCount val="1"/>
                <c:pt idx="0">
                  <c:v>Total</c:v>
                </c:pt>
              </c:strCache>
            </c:strRef>
          </c:cat>
          <c:val>
            <c:numRef>
              <c:f>'WOMAN MICRO SUPP'!$E$5</c:f>
              <c:numCache>
                <c:formatCode>General</c:formatCode>
                <c:ptCount val="1"/>
                <c:pt idx="0">
                  <c:v>44.9</c:v>
                </c:pt>
              </c:numCache>
            </c:numRef>
          </c:val>
        </c:ser>
        <c:dLbls>
          <c:showLegendKey val="0"/>
          <c:showVal val="1"/>
          <c:showCatName val="0"/>
          <c:showSerName val="0"/>
          <c:showPercent val="0"/>
          <c:showBubbleSize val="0"/>
        </c:dLbls>
        <c:gapWidth val="150"/>
        <c:overlap val="-25"/>
        <c:axId val="177303552"/>
        <c:axId val="177305088"/>
      </c:barChart>
      <c:catAx>
        <c:axId val="177303552"/>
        <c:scaling>
          <c:orientation val="minMax"/>
        </c:scaling>
        <c:delete val="1"/>
        <c:axPos val="b"/>
        <c:majorTickMark val="none"/>
        <c:minorTickMark val="none"/>
        <c:tickLblPos val="nextTo"/>
        <c:crossAx val="177305088"/>
        <c:crosses val="autoZero"/>
        <c:auto val="1"/>
        <c:lblAlgn val="ctr"/>
        <c:lblOffset val="100"/>
        <c:noMultiLvlLbl val="0"/>
      </c:catAx>
      <c:valAx>
        <c:axId val="177305088"/>
        <c:scaling>
          <c:orientation val="minMax"/>
        </c:scaling>
        <c:delete val="1"/>
        <c:axPos val="l"/>
        <c:numFmt formatCode="General" sourceLinked="1"/>
        <c:majorTickMark val="none"/>
        <c:minorTickMark val="none"/>
        <c:tickLblPos val="none"/>
        <c:crossAx val="177303552"/>
        <c:crosses val="autoZero"/>
        <c:crossBetween val="between"/>
      </c:valAx>
    </c:plotArea>
    <c:legend>
      <c:legendPos val="t"/>
      <c:overlay val="0"/>
      <c:txPr>
        <a:bodyPr/>
        <a:lstStyle/>
        <a:p>
          <a:pPr>
            <a:defRPr sz="8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[NUTRITION HH SURVEY TRENDS.xlsx]MATERNAL MICRONUT!PivotTable3</c:name>
    <c:fmtId val="-1"/>
  </c:pivotSource>
  <c:chart>
    <c:title>
      <c:tx>
        <c:rich>
          <a:bodyPr/>
          <a:lstStyle/>
          <a:p>
            <a:pPr>
              <a:defRPr sz="900"/>
            </a:pPr>
            <a:r>
              <a:rPr lang="en-US" sz="900"/>
              <a:t>Iron</a:t>
            </a:r>
            <a:r>
              <a:rPr lang="en-US" sz="900" baseline="0"/>
              <a:t> folic acid supplementation and deworming during pregnancy, 2000-2010</a:t>
            </a:r>
            <a:endParaRPr lang="en-US" sz="900"/>
          </a:p>
        </c:rich>
      </c:tx>
      <c:overlay val="0"/>
    </c:title>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dLbl>
          <c:idx val="0"/>
          <c:spPr/>
          <c:txPr>
            <a:bodyPr/>
            <a:lstStyle/>
            <a:p>
              <a:pPr>
                <a:defRPr/>
              </a:pPr>
              <a:endParaRPr lang="en-US"/>
            </a:p>
          </c:txPr>
          <c:showLegendKey val="0"/>
          <c:showVal val="1"/>
          <c:showCatName val="0"/>
          <c:showSerName val="0"/>
          <c:showPercent val="0"/>
          <c:showBubbleSize val="0"/>
        </c:dLbl>
      </c:pivotFmt>
      <c:pivotFmt>
        <c:idx val="19"/>
        <c:marker>
          <c:symbol val="none"/>
        </c:marker>
        <c:dLbl>
          <c:idx val="0"/>
          <c:spPr/>
          <c:txPr>
            <a:bodyPr/>
            <a:lstStyle/>
            <a:p>
              <a:pPr>
                <a:defRPr/>
              </a:pPr>
              <a:endParaRPr lang="en-US"/>
            </a:p>
          </c:txPr>
          <c:showLegendKey val="0"/>
          <c:showVal val="1"/>
          <c:showCatName val="0"/>
          <c:showSerName val="0"/>
          <c:showPercent val="0"/>
          <c:showBubbleSize val="0"/>
        </c:dLbl>
      </c:pivotFmt>
      <c:pivotFmt>
        <c:idx val="20"/>
        <c:marker>
          <c:symbol val="none"/>
        </c:marker>
        <c:dLbl>
          <c:idx val="0"/>
          <c:showLegendKey val="0"/>
          <c:showVal val="1"/>
          <c:showCatName val="0"/>
          <c:showSerName val="0"/>
          <c:showPercent val="0"/>
          <c:showBubbleSize val="0"/>
        </c:dLbl>
      </c:pivotFmt>
      <c:pivotFmt>
        <c:idx val="21"/>
        <c:marker>
          <c:symbol val="none"/>
        </c:marker>
        <c:dLbl>
          <c:idx val="0"/>
          <c:showLegendKey val="0"/>
          <c:showVal val="1"/>
          <c:showCatName val="0"/>
          <c:showSerName val="0"/>
          <c:showPercent val="0"/>
          <c:showBubbleSize val="0"/>
        </c:dLbl>
      </c:pivotFmt>
      <c:pivotFmt>
        <c:idx val="22"/>
        <c:marker>
          <c:symbol val="none"/>
        </c:marker>
        <c:dLbl>
          <c:idx val="0"/>
          <c:showLegendKey val="0"/>
          <c:showVal val="1"/>
          <c:showCatName val="0"/>
          <c:showSerName val="0"/>
          <c:showPercent val="0"/>
          <c:showBubbleSize val="0"/>
        </c:dLbl>
      </c:pivotFmt>
      <c:pivotFmt>
        <c:idx val="23"/>
        <c:marker>
          <c:symbol val="none"/>
        </c:marker>
        <c:dLbl>
          <c:idx val="0"/>
          <c:showLegendKey val="0"/>
          <c:showVal val="1"/>
          <c:showCatName val="0"/>
          <c:showSerName val="0"/>
          <c:showPercent val="0"/>
          <c:showBubbleSize val="0"/>
        </c:dLbl>
      </c:pivotFmt>
      <c:pivotFmt>
        <c:idx val="24"/>
        <c:marker>
          <c:symbol val="none"/>
        </c:marker>
        <c:dLbl>
          <c:idx val="0"/>
          <c:showLegendKey val="0"/>
          <c:showVal val="1"/>
          <c:showCatName val="0"/>
          <c:showSerName val="0"/>
          <c:showPercent val="0"/>
          <c:showBubbleSize val="0"/>
        </c:dLbl>
      </c:pivotFmt>
      <c:pivotFmt>
        <c:idx val="25"/>
        <c:marker>
          <c:symbol val="none"/>
        </c:marker>
        <c:dLbl>
          <c:idx val="0"/>
          <c:spPr/>
          <c:txPr>
            <a:bodyPr/>
            <a:lstStyle/>
            <a:p>
              <a:pPr>
                <a:defRPr/>
              </a:pPr>
              <a:endParaRPr lang="en-US"/>
            </a:p>
          </c:txPr>
          <c:showLegendKey val="0"/>
          <c:showVal val="1"/>
          <c:showCatName val="0"/>
          <c:showSerName val="0"/>
          <c:showPercent val="0"/>
          <c:showBubbleSize val="0"/>
        </c:dLbl>
      </c:pivotFmt>
      <c:pivotFmt>
        <c:idx val="26"/>
        <c:marker>
          <c:symbol val="none"/>
        </c:marker>
        <c:dLbl>
          <c:idx val="0"/>
          <c:spPr/>
          <c:txPr>
            <a:bodyPr/>
            <a:lstStyle/>
            <a:p>
              <a:pPr>
                <a:defRPr/>
              </a:pPr>
              <a:endParaRPr lang="en-US"/>
            </a:p>
          </c:txPr>
          <c:showLegendKey val="0"/>
          <c:showVal val="1"/>
          <c:showCatName val="0"/>
          <c:showSerName val="0"/>
          <c:showPercent val="0"/>
          <c:showBubbleSize val="0"/>
        </c:dLbl>
      </c:pivotFmt>
      <c:pivotFmt>
        <c:idx val="27"/>
        <c:marker>
          <c:symbol val="none"/>
        </c:marker>
        <c:dLbl>
          <c:idx val="0"/>
          <c:spPr/>
          <c:txPr>
            <a:bodyPr/>
            <a:lstStyle/>
            <a:p>
              <a:pPr>
                <a:defRPr/>
              </a:pPr>
              <a:endParaRPr lang="en-US"/>
            </a:p>
          </c:txPr>
          <c:showLegendKey val="0"/>
          <c:showVal val="1"/>
          <c:showCatName val="0"/>
          <c:showSerName val="0"/>
          <c:showPercent val="0"/>
          <c:showBubbleSize val="0"/>
        </c:dLbl>
      </c:pivotFmt>
      <c:pivotFmt>
        <c:idx val="28"/>
        <c:marker>
          <c:symbol val="none"/>
        </c:marker>
        <c:dLbl>
          <c:idx val="0"/>
          <c:spPr/>
          <c:txPr>
            <a:bodyPr/>
            <a:lstStyle/>
            <a:p>
              <a:pPr>
                <a:defRPr/>
              </a:pPr>
              <a:endParaRPr lang="en-US"/>
            </a:p>
          </c:txPr>
          <c:showLegendKey val="0"/>
          <c:showVal val="1"/>
          <c:showCatName val="0"/>
          <c:showSerName val="0"/>
          <c:showPercent val="0"/>
          <c:showBubbleSize val="0"/>
        </c:dLbl>
      </c:pivotFmt>
      <c:pivotFmt>
        <c:idx val="29"/>
        <c:marker>
          <c:symbol val="none"/>
        </c:marker>
        <c:dLbl>
          <c:idx val="0"/>
          <c:spPr/>
          <c:txPr>
            <a:bodyPr/>
            <a:lstStyle/>
            <a:p>
              <a:pPr>
                <a:defRPr/>
              </a:pPr>
              <a:endParaRPr lang="en-US"/>
            </a:p>
          </c:txPr>
          <c:showLegendKey val="0"/>
          <c:showVal val="1"/>
          <c:showCatName val="0"/>
          <c:showSerName val="0"/>
          <c:showPercent val="0"/>
          <c:showBubbleSize val="0"/>
        </c:dLbl>
      </c:pivotFmt>
      <c:pivotFmt>
        <c:idx val="30"/>
        <c:marker>
          <c:symbol val="none"/>
        </c:marker>
        <c:dLbl>
          <c:idx val="0"/>
          <c:spPr/>
          <c:txPr>
            <a:bodyPr/>
            <a:lstStyle/>
            <a:p>
              <a:pPr>
                <a:defRPr/>
              </a:pPr>
              <a:endParaRPr lang="en-US"/>
            </a:p>
          </c:txPr>
          <c:showLegendKey val="0"/>
          <c:showVal val="1"/>
          <c:showCatName val="0"/>
          <c:showSerName val="0"/>
          <c:showPercent val="0"/>
          <c:showBubbleSize val="0"/>
        </c:dLbl>
      </c:pivotFmt>
      <c:pivotFmt>
        <c:idx val="31"/>
        <c:marker>
          <c:symbol val="none"/>
        </c:marker>
        <c:dLbl>
          <c:idx val="0"/>
          <c:spPr/>
          <c:txPr>
            <a:bodyPr/>
            <a:lstStyle/>
            <a:p>
              <a:pPr>
                <a:defRPr/>
              </a:pPr>
              <a:endParaRPr lang="en-US"/>
            </a:p>
          </c:txPr>
          <c:showLegendKey val="0"/>
          <c:showVal val="1"/>
          <c:showCatName val="0"/>
          <c:showSerName val="0"/>
          <c:showPercent val="0"/>
          <c:showBubbleSize val="0"/>
        </c:dLbl>
      </c:pivotFmt>
      <c:pivotFmt>
        <c:idx val="32"/>
        <c:marker>
          <c:symbol val="none"/>
        </c:marker>
        <c:dLbl>
          <c:idx val="0"/>
          <c:spPr/>
          <c:txPr>
            <a:bodyPr/>
            <a:lstStyle/>
            <a:p>
              <a:pPr>
                <a:defRPr/>
              </a:pPr>
              <a:endParaRPr lang="en-US"/>
            </a:p>
          </c:txPr>
          <c:showLegendKey val="0"/>
          <c:showVal val="1"/>
          <c:showCatName val="0"/>
          <c:showSerName val="0"/>
          <c:showPercent val="0"/>
          <c:showBubbleSize val="0"/>
        </c:dLbl>
      </c:pivotFmt>
      <c:pivotFmt>
        <c:idx val="33"/>
        <c:marker>
          <c:symbol val="none"/>
        </c:marker>
        <c:dLbl>
          <c:idx val="0"/>
          <c:spPr/>
          <c:txPr>
            <a:bodyPr/>
            <a:lstStyle/>
            <a:p>
              <a:pPr>
                <a:defRPr/>
              </a:pPr>
              <a:endParaRPr lang="en-US"/>
            </a:p>
          </c:txPr>
          <c:showLegendKey val="0"/>
          <c:showVal val="1"/>
          <c:showCatName val="0"/>
          <c:showSerName val="0"/>
          <c:showPercent val="0"/>
          <c:showBubbleSize val="0"/>
        </c:dLbl>
      </c:pivotFmt>
      <c:pivotFmt>
        <c:idx val="34"/>
        <c:marker>
          <c:symbol val="none"/>
        </c:marker>
        <c:dLbl>
          <c:idx val="0"/>
          <c:spPr/>
          <c:txPr>
            <a:bodyPr/>
            <a:lstStyle/>
            <a:p>
              <a:pPr>
                <a:defRPr/>
              </a:pPr>
              <a:endParaRPr lang="en-US"/>
            </a:p>
          </c:txPr>
          <c:showLegendKey val="0"/>
          <c:showVal val="1"/>
          <c:showCatName val="0"/>
          <c:showSerName val="0"/>
          <c:showPercent val="0"/>
          <c:showBubbleSize val="0"/>
        </c:dLbl>
      </c:pivotFmt>
    </c:pivotFmts>
    <c:plotArea>
      <c:layout/>
      <c:barChart>
        <c:barDir val="col"/>
        <c:grouping val="clustered"/>
        <c:varyColors val="0"/>
        <c:ser>
          <c:idx val="0"/>
          <c:order val="0"/>
          <c:tx>
            <c:strRef>
              <c:f>'MATERNAL MICRONUT'!$B$1:$B$2</c:f>
              <c:strCache>
                <c:ptCount val="1"/>
                <c:pt idx="0">
                  <c:v>CDHS 2000</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'MATERNAL MICRONUT'!$A$3:$A$4</c:f>
              <c:strCache>
                <c:ptCount val="2"/>
                <c:pt idx="0">
                  <c:v>IFA  90+</c:v>
                </c:pt>
                <c:pt idx="1">
                  <c:v>DEWORMING</c:v>
                </c:pt>
              </c:strCache>
            </c:strRef>
          </c:cat>
          <c:val>
            <c:numRef>
              <c:f>'MATERNAL MICRONUT'!$B$3:$B$4</c:f>
              <c:numCache>
                <c:formatCode>General</c:formatCode>
                <c:ptCount val="2"/>
                <c:pt idx="0">
                  <c:v>2.4</c:v>
                </c:pt>
              </c:numCache>
            </c:numRef>
          </c:val>
        </c:ser>
        <c:ser>
          <c:idx val="1"/>
          <c:order val="1"/>
          <c:tx>
            <c:strRef>
              <c:f>'MATERNAL MICRONUT'!$C$1:$C$2</c:f>
              <c:strCache>
                <c:ptCount val="1"/>
                <c:pt idx="0">
                  <c:v>CDHS 2005</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'MATERNAL MICRONUT'!$A$3:$A$4</c:f>
              <c:strCache>
                <c:ptCount val="2"/>
                <c:pt idx="0">
                  <c:v>IFA  90+</c:v>
                </c:pt>
                <c:pt idx="1">
                  <c:v>DEWORMING</c:v>
                </c:pt>
              </c:strCache>
            </c:strRef>
          </c:cat>
          <c:val>
            <c:numRef>
              <c:f>'MATERNAL MICRONUT'!$C$3:$C$4</c:f>
              <c:numCache>
                <c:formatCode>General</c:formatCode>
                <c:ptCount val="2"/>
                <c:pt idx="0">
                  <c:v>17.600000000000001</c:v>
                </c:pt>
                <c:pt idx="1">
                  <c:v>10.7</c:v>
                </c:pt>
              </c:numCache>
            </c:numRef>
          </c:val>
        </c:ser>
        <c:ser>
          <c:idx val="2"/>
          <c:order val="2"/>
          <c:tx>
            <c:strRef>
              <c:f>'MATERNAL MICRONUT'!$D$1:$D$2</c:f>
              <c:strCache>
                <c:ptCount val="1"/>
                <c:pt idx="0">
                  <c:v>CAS 2008</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'MATERNAL MICRONUT'!$A$3:$A$4</c:f>
              <c:strCache>
                <c:ptCount val="2"/>
                <c:pt idx="0">
                  <c:v>IFA  90+</c:v>
                </c:pt>
                <c:pt idx="1">
                  <c:v>DEWORMING</c:v>
                </c:pt>
              </c:strCache>
            </c:strRef>
          </c:cat>
          <c:val>
            <c:numRef>
              <c:f>'MATERNAL MICRONUT'!$D$3:$D$4</c:f>
              <c:numCache>
                <c:formatCode>General</c:formatCode>
                <c:ptCount val="2"/>
                <c:pt idx="0">
                  <c:v>39.5</c:v>
                </c:pt>
                <c:pt idx="1">
                  <c:v>31.4</c:v>
                </c:pt>
              </c:numCache>
            </c:numRef>
          </c:val>
        </c:ser>
        <c:ser>
          <c:idx val="3"/>
          <c:order val="3"/>
          <c:tx>
            <c:strRef>
              <c:f>'MATERNAL MICRONUT'!$E$1:$E$2</c:f>
              <c:strCache>
                <c:ptCount val="1"/>
                <c:pt idx="0">
                  <c:v>CSES 2009</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'MATERNAL MICRONUT'!$A$3:$A$4</c:f>
              <c:strCache>
                <c:ptCount val="2"/>
                <c:pt idx="0">
                  <c:v>IFA  90+</c:v>
                </c:pt>
                <c:pt idx="1">
                  <c:v>DEWORMING</c:v>
                </c:pt>
              </c:strCache>
            </c:strRef>
          </c:cat>
          <c:val>
            <c:numRef>
              <c:f>'MATERNAL MICRONUT'!$E$3:$E$4</c:f>
              <c:numCache>
                <c:formatCode>General</c:formatCode>
                <c:ptCount val="2"/>
                <c:pt idx="1">
                  <c:v>43.6</c:v>
                </c:pt>
              </c:numCache>
            </c:numRef>
          </c:val>
        </c:ser>
        <c:ser>
          <c:idx val="4"/>
          <c:order val="4"/>
          <c:tx>
            <c:strRef>
              <c:f>'MATERNAL MICRONUT'!$F$1:$F$2</c:f>
              <c:strCache>
                <c:ptCount val="1"/>
                <c:pt idx="0">
                  <c:v>CDHS 2010</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'MATERNAL MICRONUT'!$A$3:$A$4</c:f>
              <c:strCache>
                <c:ptCount val="2"/>
                <c:pt idx="0">
                  <c:v>IFA  90+</c:v>
                </c:pt>
                <c:pt idx="1">
                  <c:v>DEWORMING</c:v>
                </c:pt>
              </c:strCache>
            </c:strRef>
          </c:cat>
          <c:val>
            <c:numRef>
              <c:f>'MATERNAL MICRONUT'!$F$3:$F$4</c:f>
              <c:numCache>
                <c:formatCode>General</c:formatCode>
                <c:ptCount val="2"/>
                <c:pt idx="0">
                  <c:v>56.9</c:v>
                </c:pt>
                <c:pt idx="1">
                  <c:v>44.5</c:v>
                </c:pt>
              </c:numCache>
            </c:numRef>
          </c:val>
        </c:ser>
        <c:dLbls>
          <c:showLegendKey val="0"/>
          <c:showVal val="1"/>
          <c:showCatName val="0"/>
          <c:showSerName val="0"/>
          <c:showPercent val="0"/>
          <c:showBubbleSize val="0"/>
        </c:dLbls>
        <c:gapWidth val="150"/>
        <c:overlap val="-25"/>
        <c:axId val="180354432"/>
        <c:axId val="180405376"/>
      </c:barChart>
      <c:catAx>
        <c:axId val="180354432"/>
        <c:scaling>
          <c:orientation val="minMax"/>
        </c:scaling>
        <c:delete val="0"/>
        <c:axPos val="b"/>
        <c:majorTickMark val="none"/>
        <c:minorTickMark val="none"/>
        <c:tickLblPos val="nextTo"/>
        <c:txPr>
          <a:bodyPr/>
          <a:lstStyle/>
          <a:p>
            <a:pPr>
              <a:defRPr sz="800"/>
            </a:pPr>
            <a:endParaRPr lang="en-US"/>
          </a:p>
        </c:txPr>
        <c:crossAx val="180405376"/>
        <c:crosses val="autoZero"/>
        <c:auto val="1"/>
        <c:lblAlgn val="ctr"/>
        <c:lblOffset val="100"/>
        <c:noMultiLvlLbl val="0"/>
      </c:catAx>
      <c:valAx>
        <c:axId val="180405376"/>
        <c:scaling>
          <c:orientation val="minMax"/>
        </c:scaling>
        <c:delete val="1"/>
        <c:axPos val="l"/>
        <c:numFmt formatCode="General" sourceLinked="1"/>
        <c:majorTickMark val="out"/>
        <c:minorTickMark val="none"/>
        <c:tickLblPos val="nextTo"/>
        <c:crossAx val="180354432"/>
        <c:crosses val="autoZero"/>
        <c:crossBetween val="between"/>
      </c:valAx>
    </c:plotArea>
    <c:legend>
      <c:legendPos val="t"/>
      <c:overlay val="0"/>
      <c:txPr>
        <a:bodyPr/>
        <a:lstStyle/>
        <a:p>
          <a:pPr>
            <a:defRPr sz="800"/>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6F382B7FFF4709BE877EE85EF28BF8"/>
        <w:category>
          <w:name w:val="General"/>
          <w:gallery w:val="placeholder"/>
        </w:category>
        <w:types>
          <w:type w:val="bbPlcHdr"/>
        </w:types>
        <w:behaviors>
          <w:behavior w:val="content"/>
        </w:behaviors>
        <w:guid w:val="{2CA38BC5-C78A-4C53-B3C9-7E5A6DB34981}"/>
      </w:docPartPr>
      <w:docPartBody>
        <w:p w:rsidR="003F06C2" w:rsidRDefault="00C45221" w:rsidP="00C45221">
          <w:pPr>
            <w:pStyle w:val="FA6F382B7FFF4709BE877EE85EF28BF8"/>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DaunPenh">
    <w:panose1 w:val="02000500000000020004"/>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45221"/>
    <w:rsid w:val="00216532"/>
    <w:rsid w:val="002E7156"/>
    <w:rsid w:val="003F06C2"/>
    <w:rsid w:val="004075D4"/>
    <w:rsid w:val="004721D9"/>
    <w:rsid w:val="00696733"/>
    <w:rsid w:val="008840EF"/>
    <w:rsid w:val="008A4B01"/>
    <w:rsid w:val="009324BC"/>
    <w:rsid w:val="00BD3E7F"/>
    <w:rsid w:val="00C11565"/>
    <w:rsid w:val="00C45221"/>
    <w:rsid w:val="00CD4880"/>
    <w:rsid w:val="00E14F4C"/>
    <w:rsid w:val="00E411A4"/>
    <w:rsid w:val="00F4078D"/>
    <w:rsid w:val="00F76E56"/>
  </w:rsids>
  <m:mathPr>
    <m:mathFont m:val="Cambria Math"/>
    <m:brkBin m:val="before"/>
    <m:brkBinSub m:val="--"/>
    <m:smallFrac/>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184A1EAAFC47998ADDFF70340B5A3F">
    <w:name w:val="47184A1EAAFC47998ADDFF70340B5A3F"/>
    <w:rsid w:val="00C45221"/>
  </w:style>
  <w:style w:type="paragraph" w:customStyle="1" w:styleId="FA6F382B7FFF4709BE877EE85EF28BF8">
    <w:name w:val="FA6F382B7FFF4709BE877EE85EF28BF8"/>
    <w:rsid w:val="00C452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1BC4F7-6E3A-47B8-81AC-2D4DAF89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Nutrition Fact Sheet - Cambodia</vt:lpstr>
    </vt:vector>
  </TitlesOfParts>
  <Company>The World Bank Group</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Fact Sheet - Cambodia</dc:title>
  <dc:creator>jc</dc:creator>
  <cp:lastModifiedBy>Joel Conkle</cp:lastModifiedBy>
  <cp:revision>4</cp:revision>
  <cp:lastPrinted>2011-10-25T04:57:00Z</cp:lastPrinted>
  <dcterms:created xsi:type="dcterms:W3CDTF">2013-03-11T06:11:00Z</dcterms:created>
  <dcterms:modified xsi:type="dcterms:W3CDTF">2013-03-11T09:19:00Z</dcterms:modified>
</cp:coreProperties>
</file>