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F8" w:rsidRDefault="00F353BF" w:rsidP="00BB15F8">
      <w:pPr>
        <w:pStyle w:val="Title"/>
      </w:pPr>
      <w:r>
        <w:t>Secondary Analysis of 2010 Cambodia Demographi</w:t>
      </w:r>
      <w:r w:rsidR="00BB15F8">
        <w:t xml:space="preserve">c and </w:t>
      </w:r>
    </w:p>
    <w:p w:rsidR="00F353BF" w:rsidRPr="00F353BF" w:rsidRDefault="00BB15F8" w:rsidP="00BB15F8">
      <w:pPr>
        <w:pStyle w:val="Title"/>
      </w:pPr>
      <w:r>
        <w:t>Health Survey – Nutrition</w:t>
      </w:r>
    </w:p>
    <w:p w:rsidR="00BB15F8" w:rsidRDefault="00BB15F8" w:rsidP="00BB15F8">
      <w:r>
        <w:t>Prepared by UNICEF for</w:t>
      </w:r>
    </w:p>
    <w:p w:rsidR="00BB15F8" w:rsidRDefault="00BB15F8" w:rsidP="00BB15F8">
      <w:r>
        <w:t>M</w:t>
      </w:r>
      <w:r w:rsidR="008C6692">
        <w:t xml:space="preserve">inistry </w:t>
      </w:r>
      <w:r>
        <w:t>o</w:t>
      </w:r>
      <w:r w:rsidR="008C6692">
        <w:t xml:space="preserve">f </w:t>
      </w:r>
      <w:r>
        <w:t>H</w:t>
      </w:r>
      <w:r w:rsidR="008C6692">
        <w:t>ealth</w:t>
      </w:r>
      <w:r>
        <w:t>, N</w:t>
      </w:r>
      <w:r w:rsidR="008C6692">
        <w:t xml:space="preserve">ational </w:t>
      </w:r>
      <w:r>
        <w:t>M</w:t>
      </w:r>
      <w:r w:rsidR="008C6692">
        <w:t xml:space="preserve">aternal and </w:t>
      </w:r>
      <w:r>
        <w:t>C</w:t>
      </w:r>
      <w:r w:rsidR="008C6692">
        <w:t xml:space="preserve">hild </w:t>
      </w:r>
      <w:r>
        <w:t>H</w:t>
      </w:r>
      <w:r w:rsidR="008C6692">
        <w:t xml:space="preserve">ealth </w:t>
      </w:r>
      <w:r>
        <w:t>C</w:t>
      </w:r>
      <w:r w:rsidR="008C6692">
        <w:t>entre</w:t>
      </w:r>
      <w:r>
        <w:t>, N</w:t>
      </w:r>
      <w:r w:rsidR="008C6692">
        <w:t xml:space="preserve">ational </w:t>
      </w:r>
      <w:r>
        <w:t>N</w:t>
      </w:r>
      <w:r w:rsidR="008C6692">
        <w:t xml:space="preserve">utrition </w:t>
      </w:r>
      <w:proofErr w:type="spellStart"/>
      <w:r>
        <w:t>P</w:t>
      </w:r>
      <w:r w:rsidR="008C6692">
        <w:t>rogramme</w:t>
      </w:r>
      <w:proofErr w:type="spellEnd"/>
      <w:r w:rsidR="008C6692">
        <w:t>,</w:t>
      </w:r>
      <w:r>
        <w:t xml:space="preserve"> Nutrition Working Group</w:t>
      </w:r>
    </w:p>
    <w:p w:rsidR="00EC0C42" w:rsidRDefault="00EC0C42" w:rsidP="00BB15F8">
      <w:r>
        <w:t>March 2013</w:t>
      </w:r>
    </w:p>
    <w:p w:rsidR="00BB15F8" w:rsidRDefault="00BB15F8">
      <w:r>
        <w:rPr>
          <w:b/>
          <w:bCs/>
        </w:rPr>
        <w:br w:type="page"/>
      </w:r>
    </w:p>
    <w:p w:rsidR="00BB15F8" w:rsidRDefault="00BB15F8" w:rsidP="00C670E3">
      <w:pPr>
        <w:pStyle w:val="TOCHeading"/>
        <w:rPr>
          <w:rFonts w:asciiTheme="minorHAnsi" w:eastAsiaTheme="minorEastAsia" w:hAnsiTheme="minorHAnsi" w:cstheme="minorBidi"/>
          <w:b w:val="0"/>
          <w:bCs w:val="0"/>
          <w:color w:val="auto"/>
          <w:sz w:val="22"/>
          <w:szCs w:val="36"/>
          <w:lang w:eastAsia="ko-KR" w:bidi="km-KH"/>
        </w:rPr>
      </w:pPr>
    </w:p>
    <w:sdt>
      <w:sdtPr>
        <w:rPr>
          <w:rFonts w:asciiTheme="minorHAnsi" w:eastAsiaTheme="minorEastAsia" w:hAnsiTheme="minorHAnsi" w:cstheme="minorBidi"/>
          <w:b w:val="0"/>
          <w:bCs w:val="0"/>
          <w:color w:val="auto"/>
          <w:sz w:val="22"/>
          <w:szCs w:val="36"/>
          <w:lang w:eastAsia="ko-KR" w:bidi="km-KH"/>
        </w:rPr>
        <w:id w:val="1148328790"/>
        <w:docPartObj>
          <w:docPartGallery w:val="Table of Contents"/>
          <w:docPartUnique/>
        </w:docPartObj>
      </w:sdtPr>
      <w:sdtEndPr>
        <w:rPr>
          <w:noProof/>
        </w:rPr>
      </w:sdtEndPr>
      <w:sdtContent>
        <w:p w:rsidR="00C670E3" w:rsidRPr="00BB15F8" w:rsidRDefault="00C670E3" w:rsidP="00C670E3">
          <w:pPr>
            <w:pStyle w:val="TOCHeading"/>
          </w:pPr>
          <w:r>
            <w:t>Table of Contents</w:t>
          </w:r>
        </w:p>
        <w:p w:rsidR="00B23ACD" w:rsidRDefault="00C670E3">
          <w:pPr>
            <w:pStyle w:val="TOC2"/>
            <w:tabs>
              <w:tab w:val="right" w:leader="dot" w:pos="9350"/>
            </w:tabs>
            <w:rPr>
              <w:noProof/>
            </w:rPr>
          </w:pPr>
          <w:r>
            <w:fldChar w:fldCharType="begin"/>
          </w:r>
          <w:r>
            <w:instrText xml:space="preserve"> TOC \o "1-3" \h \z \u </w:instrText>
          </w:r>
          <w:r>
            <w:fldChar w:fldCharType="separate"/>
          </w:r>
          <w:hyperlink w:anchor="_Toc346097177" w:history="1">
            <w:r w:rsidR="00B23ACD" w:rsidRPr="00E37399">
              <w:rPr>
                <w:rStyle w:val="Hyperlink"/>
                <w:noProof/>
              </w:rPr>
              <w:t>List of Figures and Tables</w:t>
            </w:r>
            <w:r w:rsidR="00B23ACD">
              <w:rPr>
                <w:noProof/>
                <w:webHidden/>
              </w:rPr>
              <w:tab/>
            </w:r>
            <w:r w:rsidR="00B23ACD">
              <w:rPr>
                <w:noProof/>
                <w:webHidden/>
              </w:rPr>
              <w:fldChar w:fldCharType="begin"/>
            </w:r>
            <w:r w:rsidR="00B23ACD">
              <w:rPr>
                <w:noProof/>
                <w:webHidden/>
              </w:rPr>
              <w:instrText xml:space="preserve"> PAGEREF _Toc346097177 \h </w:instrText>
            </w:r>
            <w:r w:rsidR="00B23ACD">
              <w:rPr>
                <w:noProof/>
                <w:webHidden/>
              </w:rPr>
            </w:r>
            <w:r w:rsidR="00B23ACD">
              <w:rPr>
                <w:noProof/>
                <w:webHidden/>
              </w:rPr>
              <w:fldChar w:fldCharType="separate"/>
            </w:r>
            <w:r w:rsidR="00B23ACD">
              <w:rPr>
                <w:noProof/>
                <w:webHidden/>
              </w:rPr>
              <w:t>3</w:t>
            </w:r>
            <w:r w:rsidR="00B23ACD">
              <w:rPr>
                <w:noProof/>
                <w:webHidden/>
              </w:rPr>
              <w:fldChar w:fldCharType="end"/>
            </w:r>
          </w:hyperlink>
        </w:p>
        <w:p w:rsidR="00B23ACD" w:rsidRDefault="00E56D30">
          <w:pPr>
            <w:pStyle w:val="TOC1"/>
            <w:tabs>
              <w:tab w:val="right" w:leader="dot" w:pos="9350"/>
            </w:tabs>
            <w:rPr>
              <w:noProof/>
            </w:rPr>
          </w:pPr>
          <w:hyperlink w:anchor="_Toc346097178" w:history="1">
            <w:r w:rsidR="00B23ACD" w:rsidRPr="00E37399">
              <w:rPr>
                <w:rStyle w:val="Hyperlink"/>
                <w:noProof/>
              </w:rPr>
              <w:t>Executive Summary</w:t>
            </w:r>
            <w:r w:rsidR="00B23ACD">
              <w:rPr>
                <w:noProof/>
                <w:webHidden/>
              </w:rPr>
              <w:tab/>
            </w:r>
            <w:r w:rsidR="00B23ACD">
              <w:rPr>
                <w:noProof/>
                <w:webHidden/>
              </w:rPr>
              <w:fldChar w:fldCharType="begin"/>
            </w:r>
            <w:r w:rsidR="00B23ACD">
              <w:rPr>
                <w:noProof/>
                <w:webHidden/>
              </w:rPr>
              <w:instrText xml:space="preserve"> PAGEREF _Toc346097178 \h </w:instrText>
            </w:r>
            <w:r w:rsidR="00B23ACD">
              <w:rPr>
                <w:noProof/>
                <w:webHidden/>
              </w:rPr>
            </w:r>
            <w:r w:rsidR="00B23ACD">
              <w:rPr>
                <w:noProof/>
                <w:webHidden/>
              </w:rPr>
              <w:fldChar w:fldCharType="separate"/>
            </w:r>
            <w:r w:rsidR="00B23ACD">
              <w:rPr>
                <w:noProof/>
                <w:webHidden/>
              </w:rPr>
              <w:t>4</w:t>
            </w:r>
            <w:r w:rsidR="00B23ACD">
              <w:rPr>
                <w:noProof/>
                <w:webHidden/>
              </w:rPr>
              <w:fldChar w:fldCharType="end"/>
            </w:r>
          </w:hyperlink>
        </w:p>
        <w:p w:rsidR="00B23ACD" w:rsidRDefault="00E56D30">
          <w:pPr>
            <w:pStyle w:val="TOC1"/>
            <w:tabs>
              <w:tab w:val="right" w:leader="dot" w:pos="9350"/>
            </w:tabs>
            <w:rPr>
              <w:noProof/>
            </w:rPr>
          </w:pPr>
          <w:hyperlink w:anchor="_Toc346097179" w:history="1">
            <w:r w:rsidR="00B23ACD" w:rsidRPr="00E37399">
              <w:rPr>
                <w:rStyle w:val="Hyperlink"/>
                <w:noProof/>
              </w:rPr>
              <w:t>Unreported Nutrition Indicators</w:t>
            </w:r>
            <w:r w:rsidR="00B23ACD">
              <w:rPr>
                <w:noProof/>
                <w:webHidden/>
              </w:rPr>
              <w:tab/>
            </w:r>
            <w:r w:rsidR="00B23ACD">
              <w:rPr>
                <w:noProof/>
                <w:webHidden/>
              </w:rPr>
              <w:fldChar w:fldCharType="begin"/>
            </w:r>
            <w:r w:rsidR="00B23ACD">
              <w:rPr>
                <w:noProof/>
                <w:webHidden/>
              </w:rPr>
              <w:instrText xml:space="preserve"> PAGEREF _Toc346097179 \h </w:instrText>
            </w:r>
            <w:r w:rsidR="00B23ACD">
              <w:rPr>
                <w:noProof/>
                <w:webHidden/>
              </w:rPr>
            </w:r>
            <w:r w:rsidR="00B23ACD">
              <w:rPr>
                <w:noProof/>
                <w:webHidden/>
              </w:rPr>
              <w:fldChar w:fldCharType="separate"/>
            </w:r>
            <w:r w:rsidR="00B23ACD">
              <w:rPr>
                <w:noProof/>
                <w:webHidden/>
              </w:rPr>
              <w:t>5</w:t>
            </w:r>
            <w:r w:rsidR="00B23ACD">
              <w:rPr>
                <w:noProof/>
                <w:webHidden/>
              </w:rPr>
              <w:fldChar w:fldCharType="end"/>
            </w:r>
          </w:hyperlink>
        </w:p>
        <w:p w:rsidR="00B23ACD" w:rsidRDefault="00E56D30">
          <w:pPr>
            <w:pStyle w:val="TOC2"/>
            <w:tabs>
              <w:tab w:val="right" w:leader="dot" w:pos="9350"/>
            </w:tabs>
            <w:rPr>
              <w:noProof/>
            </w:rPr>
          </w:pPr>
          <w:hyperlink w:anchor="_Toc346097180" w:history="1">
            <w:r w:rsidR="00B23ACD" w:rsidRPr="00E37399">
              <w:rPr>
                <w:rStyle w:val="Hyperlink"/>
                <w:noProof/>
              </w:rPr>
              <w:t>Nutrition Counseling during Antenatal Care</w:t>
            </w:r>
            <w:r w:rsidR="00B23ACD">
              <w:rPr>
                <w:noProof/>
                <w:webHidden/>
              </w:rPr>
              <w:tab/>
            </w:r>
            <w:r w:rsidR="00B23ACD">
              <w:rPr>
                <w:noProof/>
                <w:webHidden/>
              </w:rPr>
              <w:fldChar w:fldCharType="begin"/>
            </w:r>
            <w:r w:rsidR="00B23ACD">
              <w:rPr>
                <w:noProof/>
                <w:webHidden/>
              </w:rPr>
              <w:instrText xml:space="preserve"> PAGEREF _Toc346097180 \h </w:instrText>
            </w:r>
            <w:r w:rsidR="00B23ACD">
              <w:rPr>
                <w:noProof/>
                <w:webHidden/>
              </w:rPr>
            </w:r>
            <w:r w:rsidR="00B23ACD">
              <w:rPr>
                <w:noProof/>
                <w:webHidden/>
              </w:rPr>
              <w:fldChar w:fldCharType="separate"/>
            </w:r>
            <w:r w:rsidR="00B23ACD">
              <w:rPr>
                <w:noProof/>
                <w:webHidden/>
              </w:rPr>
              <w:t>5</w:t>
            </w:r>
            <w:r w:rsidR="00B23ACD">
              <w:rPr>
                <w:noProof/>
                <w:webHidden/>
              </w:rPr>
              <w:fldChar w:fldCharType="end"/>
            </w:r>
          </w:hyperlink>
        </w:p>
        <w:p w:rsidR="00B23ACD" w:rsidRDefault="00E56D30">
          <w:pPr>
            <w:pStyle w:val="TOC2"/>
            <w:tabs>
              <w:tab w:val="right" w:leader="dot" w:pos="9350"/>
            </w:tabs>
            <w:rPr>
              <w:noProof/>
            </w:rPr>
          </w:pPr>
          <w:hyperlink w:anchor="_Toc346097181" w:history="1">
            <w:r w:rsidR="00B23ACD" w:rsidRPr="00E37399">
              <w:rPr>
                <w:rStyle w:val="Hyperlink"/>
                <w:noProof/>
              </w:rPr>
              <w:t>Weekly Iron Folic Acid Supplementation</w:t>
            </w:r>
            <w:r w:rsidR="00B23ACD">
              <w:rPr>
                <w:noProof/>
                <w:webHidden/>
              </w:rPr>
              <w:tab/>
            </w:r>
            <w:r w:rsidR="00B23ACD">
              <w:rPr>
                <w:noProof/>
                <w:webHidden/>
              </w:rPr>
              <w:fldChar w:fldCharType="begin"/>
            </w:r>
            <w:r w:rsidR="00B23ACD">
              <w:rPr>
                <w:noProof/>
                <w:webHidden/>
              </w:rPr>
              <w:instrText xml:space="preserve"> PAGEREF _Toc346097181 \h </w:instrText>
            </w:r>
            <w:r w:rsidR="00B23ACD">
              <w:rPr>
                <w:noProof/>
                <w:webHidden/>
              </w:rPr>
            </w:r>
            <w:r w:rsidR="00B23ACD">
              <w:rPr>
                <w:noProof/>
                <w:webHidden/>
              </w:rPr>
              <w:fldChar w:fldCharType="separate"/>
            </w:r>
            <w:r w:rsidR="00B23ACD">
              <w:rPr>
                <w:noProof/>
                <w:webHidden/>
              </w:rPr>
              <w:t>6</w:t>
            </w:r>
            <w:r w:rsidR="00B23ACD">
              <w:rPr>
                <w:noProof/>
                <w:webHidden/>
              </w:rPr>
              <w:fldChar w:fldCharType="end"/>
            </w:r>
          </w:hyperlink>
        </w:p>
        <w:p w:rsidR="00B23ACD" w:rsidRDefault="00E56D30">
          <w:pPr>
            <w:pStyle w:val="TOC2"/>
            <w:tabs>
              <w:tab w:val="right" w:leader="dot" w:pos="9350"/>
            </w:tabs>
            <w:rPr>
              <w:noProof/>
            </w:rPr>
          </w:pPr>
          <w:hyperlink w:anchor="_Toc346097182" w:history="1">
            <w:r w:rsidR="00B23ACD" w:rsidRPr="00E37399">
              <w:rPr>
                <w:rStyle w:val="Hyperlink"/>
                <w:noProof/>
              </w:rPr>
              <w:t>Multiple Micronutrient Powder In-Home Fortification</w:t>
            </w:r>
            <w:r w:rsidR="00B23ACD">
              <w:rPr>
                <w:noProof/>
                <w:webHidden/>
              </w:rPr>
              <w:tab/>
            </w:r>
            <w:r w:rsidR="00B23ACD">
              <w:rPr>
                <w:noProof/>
                <w:webHidden/>
              </w:rPr>
              <w:fldChar w:fldCharType="begin"/>
            </w:r>
            <w:r w:rsidR="00B23ACD">
              <w:rPr>
                <w:noProof/>
                <w:webHidden/>
              </w:rPr>
              <w:instrText xml:space="preserve"> PAGEREF _Toc346097182 \h </w:instrText>
            </w:r>
            <w:r w:rsidR="00B23ACD">
              <w:rPr>
                <w:noProof/>
                <w:webHidden/>
              </w:rPr>
            </w:r>
            <w:r w:rsidR="00B23ACD">
              <w:rPr>
                <w:noProof/>
                <w:webHidden/>
              </w:rPr>
              <w:fldChar w:fldCharType="separate"/>
            </w:r>
            <w:r w:rsidR="00B23ACD">
              <w:rPr>
                <w:noProof/>
                <w:webHidden/>
              </w:rPr>
              <w:t>7</w:t>
            </w:r>
            <w:r w:rsidR="00B23ACD">
              <w:rPr>
                <w:noProof/>
                <w:webHidden/>
              </w:rPr>
              <w:fldChar w:fldCharType="end"/>
            </w:r>
          </w:hyperlink>
        </w:p>
        <w:p w:rsidR="00B23ACD" w:rsidRDefault="00E56D30">
          <w:pPr>
            <w:pStyle w:val="TOC1"/>
            <w:tabs>
              <w:tab w:val="right" w:leader="dot" w:pos="9350"/>
            </w:tabs>
            <w:rPr>
              <w:noProof/>
            </w:rPr>
          </w:pPr>
          <w:hyperlink w:anchor="_Toc346097183" w:history="1">
            <w:r w:rsidR="00B23ACD" w:rsidRPr="00E37399">
              <w:rPr>
                <w:rStyle w:val="Hyperlink"/>
                <w:noProof/>
              </w:rPr>
              <w:t>Trend Analysis of Child Anthropometry</w:t>
            </w:r>
            <w:r w:rsidR="00B23ACD">
              <w:rPr>
                <w:noProof/>
                <w:webHidden/>
              </w:rPr>
              <w:tab/>
            </w:r>
            <w:r w:rsidR="00B23ACD">
              <w:rPr>
                <w:noProof/>
                <w:webHidden/>
              </w:rPr>
              <w:fldChar w:fldCharType="begin"/>
            </w:r>
            <w:r w:rsidR="00B23ACD">
              <w:rPr>
                <w:noProof/>
                <w:webHidden/>
              </w:rPr>
              <w:instrText xml:space="preserve"> PAGEREF _Toc346097183 \h </w:instrText>
            </w:r>
            <w:r w:rsidR="00B23ACD">
              <w:rPr>
                <w:noProof/>
                <w:webHidden/>
              </w:rPr>
            </w:r>
            <w:r w:rsidR="00B23ACD">
              <w:rPr>
                <w:noProof/>
                <w:webHidden/>
              </w:rPr>
              <w:fldChar w:fldCharType="separate"/>
            </w:r>
            <w:r w:rsidR="00B23ACD">
              <w:rPr>
                <w:noProof/>
                <w:webHidden/>
              </w:rPr>
              <w:t>8</w:t>
            </w:r>
            <w:r w:rsidR="00B23ACD">
              <w:rPr>
                <w:noProof/>
                <w:webHidden/>
              </w:rPr>
              <w:fldChar w:fldCharType="end"/>
            </w:r>
          </w:hyperlink>
        </w:p>
        <w:p w:rsidR="00B23ACD" w:rsidRDefault="00E56D30">
          <w:pPr>
            <w:pStyle w:val="TOC1"/>
            <w:tabs>
              <w:tab w:val="right" w:leader="dot" w:pos="9350"/>
            </w:tabs>
            <w:rPr>
              <w:noProof/>
            </w:rPr>
          </w:pPr>
          <w:hyperlink w:anchor="_Toc346097184" w:history="1">
            <w:r w:rsidR="00B23ACD" w:rsidRPr="00E37399">
              <w:rPr>
                <w:rStyle w:val="Hyperlink"/>
                <w:noProof/>
              </w:rPr>
              <w:t>Anaemia and Iron Folic Acid Supplementation</w:t>
            </w:r>
            <w:r w:rsidR="00B23ACD">
              <w:rPr>
                <w:noProof/>
                <w:webHidden/>
              </w:rPr>
              <w:tab/>
            </w:r>
            <w:r w:rsidR="00B23ACD">
              <w:rPr>
                <w:noProof/>
                <w:webHidden/>
              </w:rPr>
              <w:fldChar w:fldCharType="begin"/>
            </w:r>
            <w:r w:rsidR="00B23ACD">
              <w:rPr>
                <w:noProof/>
                <w:webHidden/>
              </w:rPr>
              <w:instrText xml:space="preserve"> PAGEREF _Toc346097184 \h </w:instrText>
            </w:r>
            <w:r w:rsidR="00B23ACD">
              <w:rPr>
                <w:noProof/>
                <w:webHidden/>
              </w:rPr>
            </w:r>
            <w:r w:rsidR="00B23ACD">
              <w:rPr>
                <w:noProof/>
                <w:webHidden/>
              </w:rPr>
              <w:fldChar w:fldCharType="separate"/>
            </w:r>
            <w:r w:rsidR="00B23ACD">
              <w:rPr>
                <w:noProof/>
                <w:webHidden/>
              </w:rPr>
              <w:t>11</w:t>
            </w:r>
            <w:r w:rsidR="00B23ACD">
              <w:rPr>
                <w:noProof/>
                <w:webHidden/>
              </w:rPr>
              <w:fldChar w:fldCharType="end"/>
            </w:r>
          </w:hyperlink>
        </w:p>
        <w:p w:rsidR="00B23ACD" w:rsidRDefault="00E56D30">
          <w:pPr>
            <w:pStyle w:val="TOC1"/>
            <w:tabs>
              <w:tab w:val="right" w:leader="dot" w:pos="9350"/>
            </w:tabs>
            <w:rPr>
              <w:noProof/>
            </w:rPr>
          </w:pPr>
          <w:hyperlink w:anchor="_Toc346097185" w:history="1">
            <w:r w:rsidR="00B23ACD" w:rsidRPr="00E37399">
              <w:rPr>
                <w:rStyle w:val="Hyperlink"/>
                <w:noProof/>
              </w:rPr>
              <w:t>Infant and Young Child Feeding</w:t>
            </w:r>
            <w:r w:rsidR="00B23ACD">
              <w:rPr>
                <w:noProof/>
                <w:webHidden/>
              </w:rPr>
              <w:tab/>
            </w:r>
            <w:r w:rsidR="00B23ACD">
              <w:rPr>
                <w:noProof/>
                <w:webHidden/>
              </w:rPr>
              <w:fldChar w:fldCharType="begin"/>
            </w:r>
            <w:r w:rsidR="00B23ACD">
              <w:rPr>
                <w:noProof/>
                <w:webHidden/>
              </w:rPr>
              <w:instrText xml:space="preserve"> PAGEREF _Toc346097185 \h </w:instrText>
            </w:r>
            <w:r w:rsidR="00B23ACD">
              <w:rPr>
                <w:noProof/>
                <w:webHidden/>
              </w:rPr>
            </w:r>
            <w:r w:rsidR="00B23ACD">
              <w:rPr>
                <w:noProof/>
                <w:webHidden/>
              </w:rPr>
              <w:fldChar w:fldCharType="separate"/>
            </w:r>
            <w:r w:rsidR="00B23ACD">
              <w:rPr>
                <w:noProof/>
                <w:webHidden/>
              </w:rPr>
              <w:t>14</w:t>
            </w:r>
            <w:r w:rsidR="00B23ACD">
              <w:rPr>
                <w:noProof/>
                <w:webHidden/>
              </w:rPr>
              <w:fldChar w:fldCharType="end"/>
            </w:r>
          </w:hyperlink>
        </w:p>
        <w:p w:rsidR="00B23ACD" w:rsidRDefault="00E56D30">
          <w:pPr>
            <w:pStyle w:val="TOC2"/>
            <w:tabs>
              <w:tab w:val="right" w:leader="dot" w:pos="9350"/>
            </w:tabs>
            <w:rPr>
              <w:noProof/>
            </w:rPr>
          </w:pPr>
          <w:hyperlink w:anchor="_Toc346097186" w:history="1">
            <w:r w:rsidR="00B23ACD" w:rsidRPr="00E37399">
              <w:rPr>
                <w:rStyle w:val="Hyperlink"/>
                <w:noProof/>
              </w:rPr>
              <w:t>Early Initiation</w:t>
            </w:r>
            <w:r w:rsidR="00B23ACD">
              <w:rPr>
                <w:noProof/>
                <w:webHidden/>
              </w:rPr>
              <w:tab/>
            </w:r>
            <w:r w:rsidR="00B23ACD">
              <w:rPr>
                <w:noProof/>
                <w:webHidden/>
              </w:rPr>
              <w:fldChar w:fldCharType="begin"/>
            </w:r>
            <w:r w:rsidR="00B23ACD">
              <w:rPr>
                <w:noProof/>
                <w:webHidden/>
              </w:rPr>
              <w:instrText xml:space="preserve"> PAGEREF _Toc346097186 \h </w:instrText>
            </w:r>
            <w:r w:rsidR="00B23ACD">
              <w:rPr>
                <w:noProof/>
                <w:webHidden/>
              </w:rPr>
            </w:r>
            <w:r w:rsidR="00B23ACD">
              <w:rPr>
                <w:noProof/>
                <w:webHidden/>
              </w:rPr>
              <w:fldChar w:fldCharType="separate"/>
            </w:r>
            <w:r w:rsidR="00B23ACD">
              <w:rPr>
                <w:noProof/>
                <w:webHidden/>
              </w:rPr>
              <w:t>14</w:t>
            </w:r>
            <w:r w:rsidR="00B23ACD">
              <w:rPr>
                <w:noProof/>
                <w:webHidden/>
              </w:rPr>
              <w:fldChar w:fldCharType="end"/>
            </w:r>
          </w:hyperlink>
        </w:p>
        <w:p w:rsidR="00B23ACD" w:rsidRDefault="00E56D30">
          <w:pPr>
            <w:pStyle w:val="TOC2"/>
            <w:tabs>
              <w:tab w:val="right" w:leader="dot" w:pos="9350"/>
            </w:tabs>
            <w:rPr>
              <w:noProof/>
            </w:rPr>
          </w:pPr>
          <w:hyperlink w:anchor="_Toc346097187" w:history="1">
            <w:r w:rsidR="00B23ACD" w:rsidRPr="00E37399">
              <w:rPr>
                <w:rStyle w:val="Hyperlink"/>
                <w:noProof/>
              </w:rPr>
              <w:t>Formula</w:t>
            </w:r>
            <w:r w:rsidR="00B23ACD">
              <w:rPr>
                <w:noProof/>
                <w:webHidden/>
              </w:rPr>
              <w:tab/>
            </w:r>
            <w:r w:rsidR="00B23ACD">
              <w:rPr>
                <w:noProof/>
                <w:webHidden/>
              </w:rPr>
              <w:fldChar w:fldCharType="begin"/>
            </w:r>
            <w:r w:rsidR="00B23ACD">
              <w:rPr>
                <w:noProof/>
                <w:webHidden/>
              </w:rPr>
              <w:instrText xml:space="preserve"> PAGEREF _Toc346097187 \h </w:instrText>
            </w:r>
            <w:r w:rsidR="00B23ACD">
              <w:rPr>
                <w:noProof/>
                <w:webHidden/>
              </w:rPr>
            </w:r>
            <w:r w:rsidR="00B23ACD">
              <w:rPr>
                <w:noProof/>
                <w:webHidden/>
              </w:rPr>
              <w:fldChar w:fldCharType="separate"/>
            </w:r>
            <w:r w:rsidR="00B23ACD">
              <w:rPr>
                <w:noProof/>
                <w:webHidden/>
              </w:rPr>
              <w:t>18</w:t>
            </w:r>
            <w:r w:rsidR="00B23ACD">
              <w:rPr>
                <w:noProof/>
                <w:webHidden/>
              </w:rPr>
              <w:fldChar w:fldCharType="end"/>
            </w:r>
          </w:hyperlink>
        </w:p>
        <w:p w:rsidR="00B23ACD" w:rsidRDefault="00E56D30">
          <w:pPr>
            <w:pStyle w:val="TOC2"/>
            <w:tabs>
              <w:tab w:val="right" w:leader="dot" w:pos="9350"/>
            </w:tabs>
            <w:rPr>
              <w:noProof/>
            </w:rPr>
          </w:pPr>
          <w:hyperlink w:anchor="_Toc346097188" w:history="1">
            <w:r w:rsidR="00B23ACD" w:rsidRPr="00E37399">
              <w:rPr>
                <w:rStyle w:val="Hyperlink"/>
                <w:noProof/>
              </w:rPr>
              <w:t>Bottle Use</w:t>
            </w:r>
            <w:r w:rsidR="00B23ACD">
              <w:rPr>
                <w:noProof/>
                <w:webHidden/>
              </w:rPr>
              <w:tab/>
            </w:r>
            <w:r w:rsidR="00B23ACD">
              <w:rPr>
                <w:noProof/>
                <w:webHidden/>
              </w:rPr>
              <w:fldChar w:fldCharType="begin"/>
            </w:r>
            <w:r w:rsidR="00B23ACD">
              <w:rPr>
                <w:noProof/>
                <w:webHidden/>
              </w:rPr>
              <w:instrText xml:space="preserve"> PAGEREF _Toc346097188 \h </w:instrText>
            </w:r>
            <w:r w:rsidR="00B23ACD">
              <w:rPr>
                <w:noProof/>
                <w:webHidden/>
              </w:rPr>
            </w:r>
            <w:r w:rsidR="00B23ACD">
              <w:rPr>
                <w:noProof/>
                <w:webHidden/>
              </w:rPr>
              <w:fldChar w:fldCharType="separate"/>
            </w:r>
            <w:r w:rsidR="00B23ACD">
              <w:rPr>
                <w:noProof/>
                <w:webHidden/>
              </w:rPr>
              <w:t>20</w:t>
            </w:r>
            <w:r w:rsidR="00B23ACD">
              <w:rPr>
                <w:noProof/>
                <w:webHidden/>
              </w:rPr>
              <w:fldChar w:fldCharType="end"/>
            </w:r>
          </w:hyperlink>
        </w:p>
        <w:p w:rsidR="00B23ACD" w:rsidRDefault="00E56D30">
          <w:pPr>
            <w:pStyle w:val="TOC1"/>
            <w:tabs>
              <w:tab w:val="right" w:leader="dot" w:pos="9350"/>
            </w:tabs>
            <w:rPr>
              <w:noProof/>
            </w:rPr>
          </w:pPr>
          <w:hyperlink w:anchor="_Toc346097189" w:history="1">
            <w:r w:rsidR="00B23ACD" w:rsidRPr="00E37399">
              <w:rPr>
                <w:rStyle w:val="Hyperlink"/>
                <w:noProof/>
              </w:rPr>
              <w:t>Annex I. Additional Figures and Tables</w:t>
            </w:r>
            <w:r w:rsidR="00B23ACD">
              <w:rPr>
                <w:noProof/>
                <w:webHidden/>
              </w:rPr>
              <w:tab/>
            </w:r>
            <w:r w:rsidR="00B23ACD">
              <w:rPr>
                <w:noProof/>
                <w:webHidden/>
              </w:rPr>
              <w:fldChar w:fldCharType="begin"/>
            </w:r>
            <w:r w:rsidR="00B23ACD">
              <w:rPr>
                <w:noProof/>
                <w:webHidden/>
              </w:rPr>
              <w:instrText xml:space="preserve"> PAGEREF _Toc346097189 \h </w:instrText>
            </w:r>
            <w:r w:rsidR="00B23ACD">
              <w:rPr>
                <w:noProof/>
                <w:webHidden/>
              </w:rPr>
            </w:r>
            <w:r w:rsidR="00B23ACD">
              <w:rPr>
                <w:noProof/>
                <w:webHidden/>
              </w:rPr>
              <w:fldChar w:fldCharType="separate"/>
            </w:r>
            <w:r w:rsidR="00B23ACD">
              <w:rPr>
                <w:noProof/>
                <w:webHidden/>
              </w:rPr>
              <w:t>21</w:t>
            </w:r>
            <w:r w:rsidR="00B23ACD">
              <w:rPr>
                <w:noProof/>
                <w:webHidden/>
              </w:rPr>
              <w:fldChar w:fldCharType="end"/>
            </w:r>
          </w:hyperlink>
        </w:p>
        <w:p w:rsidR="00B23ACD" w:rsidRDefault="00E56D30">
          <w:pPr>
            <w:pStyle w:val="TOC2"/>
            <w:tabs>
              <w:tab w:val="right" w:leader="dot" w:pos="9350"/>
            </w:tabs>
            <w:rPr>
              <w:noProof/>
            </w:rPr>
          </w:pPr>
          <w:hyperlink w:anchor="_Toc346097190" w:history="1">
            <w:r w:rsidR="00B23ACD" w:rsidRPr="00E37399">
              <w:rPr>
                <w:rStyle w:val="Hyperlink"/>
                <w:noProof/>
              </w:rPr>
              <w:t>Underweight Trends</w:t>
            </w:r>
            <w:r w:rsidR="00B23ACD">
              <w:rPr>
                <w:noProof/>
                <w:webHidden/>
              </w:rPr>
              <w:tab/>
            </w:r>
            <w:r w:rsidR="00B23ACD">
              <w:rPr>
                <w:noProof/>
                <w:webHidden/>
              </w:rPr>
              <w:fldChar w:fldCharType="begin"/>
            </w:r>
            <w:r w:rsidR="00B23ACD">
              <w:rPr>
                <w:noProof/>
                <w:webHidden/>
              </w:rPr>
              <w:instrText xml:space="preserve"> PAGEREF _Toc346097190 \h </w:instrText>
            </w:r>
            <w:r w:rsidR="00B23ACD">
              <w:rPr>
                <w:noProof/>
                <w:webHidden/>
              </w:rPr>
            </w:r>
            <w:r w:rsidR="00B23ACD">
              <w:rPr>
                <w:noProof/>
                <w:webHidden/>
              </w:rPr>
              <w:fldChar w:fldCharType="separate"/>
            </w:r>
            <w:r w:rsidR="00B23ACD">
              <w:rPr>
                <w:noProof/>
                <w:webHidden/>
              </w:rPr>
              <w:t>21</w:t>
            </w:r>
            <w:r w:rsidR="00B23ACD">
              <w:rPr>
                <w:noProof/>
                <w:webHidden/>
              </w:rPr>
              <w:fldChar w:fldCharType="end"/>
            </w:r>
          </w:hyperlink>
        </w:p>
        <w:p w:rsidR="00B23ACD" w:rsidRDefault="00E56D30">
          <w:pPr>
            <w:pStyle w:val="TOC2"/>
            <w:tabs>
              <w:tab w:val="right" w:leader="dot" w:pos="9350"/>
            </w:tabs>
            <w:rPr>
              <w:noProof/>
            </w:rPr>
          </w:pPr>
          <w:hyperlink w:anchor="_Toc346097191" w:history="1">
            <w:r w:rsidR="00B23ACD" w:rsidRPr="00E37399">
              <w:rPr>
                <w:rStyle w:val="Hyperlink"/>
                <w:noProof/>
              </w:rPr>
              <w:t>Anemia</w:t>
            </w:r>
            <w:r w:rsidR="00B23ACD">
              <w:rPr>
                <w:noProof/>
                <w:webHidden/>
              </w:rPr>
              <w:tab/>
            </w:r>
            <w:r w:rsidR="00B23ACD">
              <w:rPr>
                <w:noProof/>
                <w:webHidden/>
              </w:rPr>
              <w:fldChar w:fldCharType="begin"/>
            </w:r>
            <w:r w:rsidR="00B23ACD">
              <w:rPr>
                <w:noProof/>
                <w:webHidden/>
              </w:rPr>
              <w:instrText xml:space="preserve"> PAGEREF _Toc346097191 \h </w:instrText>
            </w:r>
            <w:r w:rsidR="00B23ACD">
              <w:rPr>
                <w:noProof/>
                <w:webHidden/>
              </w:rPr>
            </w:r>
            <w:r w:rsidR="00B23ACD">
              <w:rPr>
                <w:noProof/>
                <w:webHidden/>
              </w:rPr>
              <w:fldChar w:fldCharType="separate"/>
            </w:r>
            <w:r w:rsidR="00B23ACD">
              <w:rPr>
                <w:noProof/>
                <w:webHidden/>
              </w:rPr>
              <w:t>25</w:t>
            </w:r>
            <w:r w:rsidR="00B23ACD">
              <w:rPr>
                <w:noProof/>
                <w:webHidden/>
              </w:rPr>
              <w:fldChar w:fldCharType="end"/>
            </w:r>
          </w:hyperlink>
        </w:p>
        <w:p w:rsidR="00B23ACD" w:rsidRDefault="00E56D30">
          <w:pPr>
            <w:pStyle w:val="TOC2"/>
            <w:tabs>
              <w:tab w:val="right" w:leader="dot" w:pos="9350"/>
            </w:tabs>
            <w:rPr>
              <w:noProof/>
            </w:rPr>
          </w:pPr>
          <w:hyperlink w:anchor="_Toc346097192" w:history="1">
            <w:r w:rsidR="00B23ACD" w:rsidRPr="00E37399">
              <w:rPr>
                <w:rStyle w:val="Hyperlink"/>
                <w:noProof/>
              </w:rPr>
              <w:t>Infant and Young Child Feeding</w:t>
            </w:r>
            <w:r w:rsidR="00B23ACD">
              <w:rPr>
                <w:noProof/>
                <w:webHidden/>
              </w:rPr>
              <w:tab/>
            </w:r>
            <w:r w:rsidR="00B23ACD">
              <w:rPr>
                <w:noProof/>
                <w:webHidden/>
              </w:rPr>
              <w:fldChar w:fldCharType="begin"/>
            </w:r>
            <w:r w:rsidR="00B23ACD">
              <w:rPr>
                <w:noProof/>
                <w:webHidden/>
              </w:rPr>
              <w:instrText xml:space="preserve"> PAGEREF _Toc346097192 \h </w:instrText>
            </w:r>
            <w:r w:rsidR="00B23ACD">
              <w:rPr>
                <w:noProof/>
                <w:webHidden/>
              </w:rPr>
            </w:r>
            <w:r w:rsidR="00B23ACD">
              <w:rPr>
                <w:noProof/>
                <w:webHidden/>
              </w:rPr>
              <w:fldChar w:fldCharType="separate"/>
            </w:r>
            <w:r w:rsidR="00B23ACD">
              <w:rPr>
                <w:noProof/>
                <w:webHidden/>
              </w:rPr>
              <w:t>28</w:t>
            </w:r>
            <w:r w:rsidR="00B23ACD">
              <w:rPr>
                <w:noProof/>
                <w:webHidden/>
              </w:rPr>
              <w:fldChar w:fldCharType="end"/>
            </w:r>
          </w:hyperlink>
        </w:p>
        <w:p w:rsidR="00C670E3" w:rsidRDefault="00C670E3" w:rsidP="00C670E3">
          <w:pPr>
            <w:rPr>
              <w:b/>
              <w:bCs/>
              <w:noProof/>
            </w:rPr>
          </w:pPr>
          <w:r>
            <w:rPr>
              <w:b/>
              <w:bCs/>
              <w:noProof/>
            </w:rPr>
            <w:fldChar w:fldCharType="end"/>
          </w:r>
        </w:p>
      </w:sdtContent>
    </w:sdt>
    <w:p w:rsidR="0029381C" w:rsidRDefault="0029381C" w:rsidP="003C6D60"/>
    <w:p w:rsidR="0029381C" w:rsidRDefault="0029381C" w:rsidP="003C6D60">
      <w:proofErr w:type="spellStart"/>
      <w:r>
        <w:t>Conkle</w:t>
      </w:r>
      <w:proofErr w:type="spellEnd"/>
      <w:r>
        <w:t>, J., Wise, A</w:t>
      </w:r>
      <w:proofErr w:type="gramStart"/>
      <w:r>
        <w:t>. :</w:t>
      </w:r>
      <w:proofErr w:type="gramEnd"/>
      <w:r>
        <w:t xml:space="preserve"> </w:t>
      </w:r>
      <w:hyperlink r:id="rId6" w:history="1">
        <w:r w:rsidRPr="00FF29AB">
          <w:rPr>
            <w:rStyle w:val="Hyperlink"/>
          </w:rPr>
          <w:t>jconkle@unicef.org</w:t>
        </w:r>
      </w:hyperlink>
      <w:r>
        <w:t>, awise@gmail.com</w:t>
      </w:r>
    </w:p>
    <w:p w:rsidR="0068681F" w:rsidRDefault="0068681F" w:rsidP="003C6D60"/>
    <w:p w:rsidR="0068681F" w:rsidRDefault="0068681F" w:rsidP="003C6D60"/>
    <w:p w:rsidR="0068681F" w:rsidRDefault="0068681F" w:rsidP="003C6D60"/>
    <w:p w:rsidR="0068681F" w:rsidRDefault="0068681F" w:rsidP="003C6D60"/>
    <w:p w:rsidR="0068681F" w:rsidRDefault="0068681F" w:rsidP="003C6D60"/>
    <w:p w:rsidR="0068681F" w:rsidRDefault="0068681F" w:rsidP="003C6D60"/>
    <w:p w:rsidR="0068681F" w:rsidRDefault="0068681F" w:rsidP="003C6D60"/>
    <w:p w:rsidR="0068681F" w:rsidRDefault="0068681F" w:rsidP="003C6D60"/>
    <w:p w:rsidR="0068681F" w:rsidRDefault="00B23ACD" w:rsidP="00FD541F">
      <w:pPr>
        <w:pStyle w:val="Heading1"/>
      </w:pPr>
      <w:bookmarkStart w:id="0" w:name="_Toc346097177"/>
      <w:r>
        <w:t>List of Figures and Tables</w:t>
      </w:r>
      <w:bookmarkEnd w:id="0"/>
    </w:p>
    <w:p w:rsidR="00B23ACD" w:rsidRPr="00B23ACD" w:rsidRDefault="00B23ACD" w:rsidP="00B23ACD"/>
    <w:p w:rsidR="00B23ACD" w:rsidRDefault="0068681F">
      <w:pPr>
        <w:pStyle w:val="TableofFigures"/>
        <w:tabs>
          <w:tab w:val="right" w:leader="dot" w:pos="9350"/>
        </w:tabs>
        <w:rPr>
          <w:noProof/>
        </w:rPr>
      </w:pPr>
      <w:r>
        <w:fldChar w:fldCharType="begin"/>
      </w:r>
      <w:r>
        <w:instrText xml:space="preserve"> TOC \h \z \c "Figure" </w:instrText>
      </w:r>
      <w:r>
        <w:fldChar w:fldCharType="separate"/>
      </w:r>
      <w:hyperlink w:anchor="_Toc346097103" w:history="1">
        <w:r w:rsidR="00B23ACD" w:rsidRPr="00DC3E74">
          <w:rPr>
            <w:rStyle w:val="Hyperlink"/>
            <w:noProof/>
          </w:rPr>
          <w:t>Figure 1. Trends in Under 5 Child Malnutrition from 2000-2010, DHS &amp; CAS</w:t>
        </w:r>
        <w:r w:rsidR="00B23ACD">
          <w:rPr>
            <w:noProof/>
            <w:webHidden/>
          </w:rPr>
          <w:tab/>
        </w:r>
        <w:r w:rsidR="00B23ACD">
          <w:rPr>
            <w:noProof/>
            <w:webHidden/>
          </w:rPr>
          <w:fldChar w:fldCharType="begin"/>
        </w:r>
        <w:r w:rsidR="00B23ACD">
          <w:rPr>
            <w:noProof/>
            <w:webHidden/>
          </w:rPr>
          <w:instrText xml:space="preserve"> PAGEREF _Toc346097103 \h </w:instrText>
        </w:r>
        <w:r w:rsidR="00B23ACD">
          <w:rPr>
            <w:noProof/>
            <w:webHidden/>
          </w:rPr>
        </w:r>
        <w:r w:rsidR="00B23ACD">
          <w:rPr>
            <w:noProof/>
            <w:webHidden/>
          </w:rPr>
          <w:fldChar w:fldCharType="separate"/>
        </w:r>
        <w:r w:rsidR="00B23ACD">
          <w:rPr>
            <w:noProof/>
            <w:webHidden/>
          </w:rPr>
          <w:t>8</w:t>
        </w:r>
        <w:r w:rsidR="00B23ACD">
          <w:rPr>
            <w:noProof/>
            <w:webHidden/>
          </w:rPr>
          <w:fldChar w:fldCharType="end"/>
        </w:r>
      </w:hyperlink>
    </w:p>
    <w:p w:rsidR="00B23ACD" w:rsidRDefault="00E56D30">
      <w:pPr>
        <w:pStyle w:val="TableofFigures"/>
        <w:tabs>
          <w:tab w:val="right" w:leader="dot" w:pos="9350"/>
        </w:tabs>
        <w:rPr>
          <w:noProof/>
        </w:rPr>
      </w:pPr>
      <w:hyperlink r:id="rId7" w:anchor="_Toc346097104" w:history="1">
        <w:r w:rsidR="00B23ACD" w:rsidRPr="00DC3E74">
          <w:rPr>
            <w:rStyle w:val="Hyperlink"/>
            <w:noProof/>
          </w:rPr>
          <w:t>Figure 2. Trends in weight for age z score: Rural by Wealth, CDHS 2000-2010</w:t>
        </w:r>
        <w:r w:rsidR="00B23ACD">
          <w:rPr>
            <w:noProof/>
            <w:webHidden/>
          </w:rPr>
          <w:tab/>
        </w:r>
        <w:r w:rsidR="00B23ACD">
          <w:rPr>
            <w:noProof/>
            <w:webHidden/>
          </w:rPr>
          <w:fldChar w:fldCharType="begin"/>
        </w:r>
        <w:r w:rsidR="00B23ACD">
          <w:rPr>
            <w:noProof/>
            <w:webHidden/>
          </w:rPr>
          <w:instrText xml:space="preserve"> PAGEREF _Toc346097104 \h </w:instrText>
        </w:r>
        <w:r w:rsidR="00B23ACD">
          <w:rPr>
            <w:noProof/>
            <w:webHidden/>
          </w:rPr>
        </w:r>
        <w:r w:rsidR="00B23ACD">
          <w:rPr>
            <w:noProof/>
            <w:webHidden/>
          </w:rPr>
          <w:fldChar w:fldCharType="separate"/>
        </w:r>
        <w:r w:rsidR="00B23ACD">
          <w:rPr>
            <w:noProof/>
            <w:webHidden/>
          </w:rPr>
          <w:t>9</w:t>
        </w:r>
        <w:r w:rsidR="00B23ACD">
          <w:rPr>
            <w:noProof/>
            <w:webHidden/>
          </w:rPr>
          <w:fldChar w:fldCharType="end"/>
        </w:r>
      </w:hyperlink>
    </w:p>
    <w:p w:rsidR="00B23ACD" w:rsidRDefault="00E56D30">
      <w:pPr>
        <w:pStyle w:val="TableofFigures"/>
        <w:tabs>
          <w:tab w:val="right" w:leader="dot" w:pos="9350"/>
        </w:tabs>
        <w:rPr>
          <w:noProof/>
        </w:rPr>
      </w:pPr>
      <w:hyperlink r:id="rId8" w:anchor="_Toc346097105" w:history="1">
        <w:r w:rsidR="00B23ACD" w:rsidRPr="00DC3E74">
          <w:rPr>
            <w:rStyle w:val="Hyperlink"/>
            <w:noProof/>
          </w:rPr>
          <w:t>Figure 3. Trends in weight for age z score: Urban by Wealth, CDHS 2000-2010</w:t>
        </w:r>
        <w:r w:rsidR="00B23ACD">
          <w:rPr>
            <w:noProof/>
            <w:webHidden/>
          </w:rPr>
          <w:tab/>
        </w:r>
        <w:r w:rsidR="00B23ACD">
          <w:rPr>
            <w:noProof/>
            <w:webHidden/>
          </w:rPr>
          <w:fldChar w:fldCharType="begin"/>
        </w:r>
        <w:r w:rsidR="00B23ACD">
          <w:rPr>
            <w:noProof/>
            <w:webHidden/>
          </w:rPr>
          <w:instrText xml:space="preserve"> PAGEREF _Toc346097105 \h </w:instrText>
        </w:r>
        <w:r w:rsidR="00B23ACD">
          <w:rPr>
            <w:noProof/>
            <w:webHidden/>
          </w:rPr>
        </w:r>
        <w:r w:rsidR="00B23ACD">
          <w:rPr>
            <w:noProof/>
            <w:webHidden/>
          </w:rPr>
          <w:fldChar w:fldCharType="separate"/>
        </w:r>
        <w:r w:rsidR="00B23ACD">
          <w:rPr>
            <w:noProof/>
            <w:webHidden/>
          </w:rPr>
          <w:t>9</w:t>
        </w:r>
        <w:r w:rsidR="00B23ACD">
          <w:rPr>
            <w:noProof/>
            <w:webHidden/>
          </w:rPr>
          <w:fldChar w:fldCharType="end"/>
        </w:r>
      </w:hyperlink>
    </w:p>
    <w:p w:rsidR="00B23ACD" w:rsidRDefault="00E56D30">
      <w:pPr>
        <w:pStyle w:val="TableofFigures"/>
        <w:tabs>
          <w:tab w:val="right" w:leader="dot" w:pos="9350"/>
        </w:tabs>
        <w:rPr>
          <w:noProof/>
        </w:rPr>
      </w:pPr>
      <w:hyperlink r:id="rId9" w:anchor="_Toc346097106" w:history="1">
        <w:r w:rsidR="00B23ACD" w:rsidRPr="00DC3E74">
          <w:rPr>
            <w:rStyle w:val="Hyperlink"/>
            <w:noProof/>
          </w:rPr>
          <w:t>Figure 4. Percentage of Cambodian women age 15-49 with anemia from 2000-2010</w:t>
        </w:r>
        <w:r w:rsidR="00B23ACD">
          <w:rPr>
            <w:noProof/>
            <w:webHidden/>
          </w:rPr>
          <w:tab/>
        </w:r>
        <w:r w:rsidR="00B23ACD">
          <w:rPr>
            <w:noProof/>
            <w:webHidden/>
          </w:rPr>
          <w:fldChar w:fldCharType="begin"/>
        </w:r>
        <w:r w:rsidR="00B23ACD">
          <w:rPr>
            <w:noProof/>
            <w:webHidden/>
          </w:rPr>
          <w:instrText xml:space="preserve"> PAGEREF _Toc346097106 \h </w:instrText>
        </w:r>
        <w:r w:rsidR="00B23ACD">
          <w:rPr>
            <w:noProof/>
            <w:webHidden/>
          </w:rPr>
        </w:r>
        <w:r w:rsidR="00B23ACD">
          <w:rPr>
            <w:noProof/>
            <w:webHidden/>
          </w:rPr>
          <w:fldChar w:fldCharType="separate"/>
        </w:r>
        <w:r w:rsidR="00B23ACD">
          <w:rPr>
            <w:noProof/>
            <w:webHidden/>
          </w:rPr>
          <w:t>11</w:t>
        </w:r>
        <w:r w:rsidR="00B23ACD">
          <w:rPr>
            <w:noProof/>
            <w:webHidden/>
          </w:rPr>
          <w:fldChar w:fldCharType="end"/>
        </w:r>
      </w:hyperlink>
    </w:p>
    <w:p w:rsidR="00B23ACD" w:rsidRDefault="00E56D30">
      <w:pPr>
        <w:pStyle w:val="TableofFigures"/>
        <w:tabs>
          <w:tab w:val="right" w:leader="dot" w:pos="9350"/>
        </w:tabs>
        <w:rPr>
          <w:noProof/>
        </w:rPr>
      </w:pPr>
      <w:hyperlink r:id="rId10" w:anchor="_Toc346097107" w:history="1">
        <w:r w:rsidR="00B23ACD" w:rsidRPr="00DC3E74">
          <w:rPr>
            <w:rStyle w:val="Hyperlink"/>
            <w:noProof/>
          </w:rPr>
          <w:t>Figure 5. Maternal Anemia Trends, CDHS 2000-2010</w:t>
        </w:r>
        <w:r w:rsidR="00B23ACD">
          <w:rPr>
            <w:noProof/>
            <w:webHidden/>
          </w:rPr>
          <w:tab/>
        </w:r>
        <w:r w:rsidR="00B23ACD">
          <w:rPr>
            <w:noProof/>
            <w:webHidden/>
          </w:rPr>
          <w:fldChar w:fldCharType="begin"/>
        </w:r>
        <w:r w:rsidR="00B23ACD">
          <w:rPr>
            <w:noProof/>
            <w:webHidden/>
          </w:rPr>
          <w:instrText xml:space="preserve"> PAGEREF _Toc346097107 \h </w:instrText>
        </w:r>
        <w:r w:rsidR="00B23ACD">
          <w:rPr>
            <w:noProof/>
            <w:webHidden/>
          </w:rPr>
        </w:r>
        <w:r w:rsidR="00B23ACD">
          <w:rPr>
            <w:noProof/>
            <w:webHidden/>
          </w:rPr>
          <w:fldChar w:fldCharType="separate"/>
        </w:r>
        <w:r w:rsidR="00B23ACD">
          <w:rPr>
            <w:noProof/>
            <w:webHidden/>
          </w:rPr>
          <w:t>11</w:t>
        </w:r>
        <w:r w:rsidR="00B23ACD">
          <w:rPr>
            <w:noProof/>
            <w:webHidden/>
          </w:rPr>
          <w:fldChar w:fldCharType="end"/>
        </w:r>
      </w:hyperlink>
    </w:p>
    <w:p w:rsidR="00B23ACD" w:rsidRDefault="00E56D30">
      <w:pPr>
        <w:pStyle w:val="TableofFigures"/>
        <w:tabs>
          <w:tab w:val="right" w:leader="dot" w:pos="9350"/>
        </w:tabs>
        <w:rPr>
          <w:noProof/>
        </w:rPr>
      </w:pPr>
      <w:hyperlink w:anchor="_Toc346097108" w:history="1">
        <w:r w:rsidR="00B23ACD" w:rsidRPr="00DC3E74">
          <w:rPr>
            <w:rStyle w:val="Hyperlink"/>
            <w:noProof/>
          </w:rPr>
          <w:t>Figure 6. Early initiation of breastfeeding among last born children (from the previous 5 years) in Cambodia from 2000-2010</w:t>
        </w:r>
        <w:r w:rsidR="00B23ACD">
          <w:rPr>
            <w:noProof/>
            <w:webHidden/>
          </w:rPr>
          <w:tab/>
        </w:r>
        <w:r w:rsidR="00B23ACD">
          <w:rPr>
            <w:noProof/>
            <w:webHidden/>
          </w:rPr>
          <w:fldChar w:fldCharType="begin"/>
        </w:r>
        <w:r w:rsidR="00B23ACD">
          <w:rPr>
            <w:noProof/>
            <w:webHidden/>
          </w:rPr>
          <w:instrText xml:space="preserve"> PAGEREF _Toc346097108 \h </w:instrText>
        </w:r>
        <w:r w:rsidR="00B23ACD">
          <w:rPr>
            <w:noProof/>
            <w:webHidden/>
          </w:rPr>
        </w:r>
        <w:r w:rsidR="00B23ACD">
          <w:rPr>
            <w:noProof/>
            <w:webHidden/>
          </w:rPr>
          <w:fldChar w:fldCharType="separate"/>
        </w:r>
        <w:r w:rsidR="00B23ACD">
          <w:rPr>
            <w:noProof/>
            <w:webHidden/>
          </w:rPr>
          <w:t>14</w:t>
        </w:r>
        <w:r w:rsidR="00B23ACD">
          <w:rPr>
            <w:noProof/>
            <w:webHidden/>
          </w:rPr>
          <w:fldChar w:fldCharType="end"/>
        </w:r>
      </w:hyperlink>
    </w:p>
    <w:p w:rsidR="00B23ACD" w:rsidRDefault="00E56D30">
      <w:pPr>
        <w:pStyle w:val="TableofFigures"/>
        <w:tabs>
          <w:tab w:val="right" w:leader="dot" w:pos="9350"/>
        </w:tabs>
        <w:rPr>
          <w:noProof/>
        </w:rPr>
      </w:pPr>
      <w:hyperlink r:id="rId11" w:anchor="_Toc346097109" w:history="1">
        <w:r w:rsidR="00B23ACD" w:rsidRPr="00DC3E74">
          <w:rPr>
            <w:rStyle w:val="Hyperlink"/>
            <w:noProof/>
          </w:rPr>
          <w:t>Figure 7. Prelacteal feeding questions, CDHS 2000</w:t>
        </w:r>
        <w:r w:rsidR="00B23ACD">
          <w:rPr>
            <w:noProof/>
            <w:webHidden/>
          </w:rPr>
          <w:tab/>
        </w:r>
        <w:r w:rsidR="00B23ACD">
          <w:rPr>
            <w:noProof/>
            <w:webHidden/>
          </w:rPr>
          <w:fldChar w:fldCharType="begin"/>
        </w:r>
        <w:r w:rsidR="00B23ACD">
          <w:rPr>
            <w:noProof/>
            <w:webHidden/>
          </w:rPr>
          <w:instrText xml:space="preserve"> PAGEREF _Toc346097109 \h </w:instrText>
        </w:r>
        <w:r w:rsidR="00B23ACD">
          <w:rPr>
            <w:noProof/>
            <w:webHidden/>
          </w:rPr>
        </w:r>
        <w:r w:rsidR="00B23ACD">
          <w:rPr>
            <w:noProof/>
            <w:webHidden/>
          </w:rPr>
          <w:fldChar w:fldCharType="separate"/>
        </w:r>
        <w:r w:rsidR="00B23ACD">
          <w:rPr>
            <w:noProof/>
            <w:webHidden/>
          </w:rPr>
          <w:t>15</w:t>
        </w:r>
        <w:r w:rsidR="00B23ACD">
          <w:rPr>
            <w:noProof/>
            <w:webHidden/>
          </w:rPr>
          <w:fldChar w:fldCharType="end"/>
        </w:r>
      </w:hyperlink>
    </w:p>
    <w:p w:rsidR="00B23ACD" w:rsidRDefault="00E56D30">
      <w:pPr>
        <w:pStyle w:val="TableofFigures"/>
        <w:tabs>
          <w:tab w:val="right" w:leader="dot" w:pos="9350"/>
        </w:tabs>
        <w:rPr>
          <w:noProof/>
        </w:rPr>
      </w:pPr>
      <w:hyperlink r:id="rId12" w:anchor="_Toc346097110" w:history="1">
        <w:r w:rsidR="00B23ACD" w:rsidRPr="00DC3E74">
          <w:rPr>
            <w:rStyle w:val="Hyperlink"/>
            <w:noProof/>
          </w:rPr>
          <w:t>Figure 8. Prelacteal feeding questions, CDHS 2005 and 2010</w:t>
        </w:r>
        <w:r w:rsidR="00B23ACD">
          <w:rPr>
            <w:noProof/>
            <w:webHidden/>
          </w:rPr>
          <w:tab/>
        </w:r>
        <w:r w:rsidR="00B23ACD">
          <w:rPr>
            <w:noProof/>
            <w:webHidden/>
          </w:rPr>
          <w:fldChar w:fldCharType="begin"/>
        </w:r>
        <w:r w:rsidR="00B23ACD">
          <w:rPr>
            <w:noProof/>
            <w:webHidden/>
          </w:rPr>
          <w:instrText xml:space="preserve"> PAGEREF _Toc346097110 \h </w:instrText>
        </w:r>
        <w:r w:rsidR="00B23ACD">
          <w:rPr>
            <w:noProof/>
            <w:webHidden/>
          </w:rPr>
        </w:r>
        <w:r w:rsidR="00B23ACD">
          <w:rPr>
            <w:noProof/>
            <w:webHidden/>
          </w:rPr>
          <w:fldChar w:fldCharType="separate"/>
        </w:r>
        <w:r w:rsidR="00B23ACD">
          <w:rPr>
            <w:noProof/>
            <w:webHidden/>
          </w:rPr>
          <w:t>15</w:t>
        </w:r>
        <w:r w:rsidR="00B23ACD">
          <w:rPr>
            <w:noProof/>
            <w:webHidden/>
          </w:rPr>
          <w:fldChar w:fldCharType="end"/>
        </w:r>
      </w:hyperlink>
    </w:p>
    <w:p w:rsidR="00B23ACD" w:rsidRDefault="00E56D30">
      <w:pPr>
        <w:pStyle w:val="TableofFigures"/>
        <w:tabs>
          <w:tab w:val="right" w:leader="dot" w:pos="9350"/>
        </w:tabs>
        <w:rPr>
          <w:noProof/>
        </w:rPr>
      </w:pPr>
      <w:hyperlink w:anchor="_Toc346097111" w:history="1">
        <w:r w:rsidR="00B23ACD" w:rsidRPr="00DC3E74">
          <w:rPr>
            <w:rStyle w:val="Hyperlink"/>
            <w:noProof/>
          </w:rPr>
          <w:t>Figure 9. Early Initiation of Breastfeeding and Prelacteal Feeding Trend CDHS 2000-2010</w:t>
        </w:r>
        <w:r w:rsidR="00B23ACD">
          <w:rPr>
            <w:noProof/>
            <w:webHidden/>
          </w:rPr>
          <w:tab/>
        </w:r>
        <w:r w:rsidR="00B23ACD">
          <w:rPr>
            <w:noProof/>
            <w:webHidden/>
          </w:rPr>
          <w:fldChar w:fldCharType="begin"/>
        </w:r>
        <w:r w:rsidR="00B23ACD">
          <w:rPr>
            <w:noProof/>
            <w:webHidden/>
          </w:rPr>
          <w:instrText xml:space="preserve"> PAGEREF _Toc346097111 \h </w:instrText>
        </w:r>
        <w:r w:rsidR="00B23ACD">
          <w:rPr>
            <w:noProof/>
            <w:webHidden/>
          </w:rPr>
        </w:r>
        <w:r w:rsidR="00B23ACD">
          <w:rPr>
            <w:noProof/>
            <w:webHidden/>
          </w:rPr>
          <w:fldChar w:fldCharType="separate"/>
        </w:r>
        <w:r w:rsidR="00B23ACD">
          <w:rPr>
            <w:noProof/>
            <w:webHidden/>
          </w:rPr>
          <w:t>16</w:t>
        </w:r>
        <w:r w:rsidR="00B23ACD">
          <w:rPr>
            <w:noProof/>
            <w:webHidden/>
          </w:rPr>
          <w:fldChar w:fldCharType="end"/>
        </w:r>
      </w:hyperlink>
    </w:p>
    <w:p w:rsidR="00B23ACD" w:rsidRDefault="00E56D30">
      <w:pPr>
        <w:pStyle w:val="TableofFigures"/>
        <w:tabs>
          <w:tab w:val="right" w:leader="dot" w:pos="9350"/>
        </w:tabs>
        <w:rPr>
          <w:noProof/>
        </w:rPr>
      </w:pPr>
      <w:hyperlink r:id="rId13" w:anchor="_Toc346097112" w:history="1">
        <w:r w:rsidR="00B23ACD" w:rsidRPr="00DC3E74">
          <w:rPr>
            <w:rStyle w:val="Hyperlink"/>
            <w:noProof/>
          </w:rPr>
          <w:t>Figure 10. Trends in formula use: Urban and Rural by wealth, CDHS 2000-2010</w:t>
        </w:r>
        <w:r w:rsidR="00B23ACD">
          <w:rPr>
            <w:noProof/>
            <w:webHidden/>
          </w:rPr>
          <w:tab/>
        </w:r>
        <w:r w:rsidR="00B23ACD">
          <w:rPr>
            <w:noProof/>
            <w:webHidden/>
          </w:rPr>
          <w:fldChar w:fldCharType="begin"/>
        </w:r>
        <w:r w:rsidR="00B23ACD">
          <w:rPr>
            <w:noProof/>
            <w:webHidden/>
          </w:rPr>
          <w:instrText xml:space="preserve"> PAGEREF _Toc346097112 \h </w:instrText>
        </w:r>
        <w:r w:rsidR="00B23ACD">
          <w:rPr>
            <w:noProof/>
            <w:webHidden/>
          </w:rPr>
        </w:r>
        <w:r w:rsidR="00B23ACD">
          <w:rPr>
            <w:noProof/>
            <w:webHidden/>
          </w:rPr>
          <w:fldChar w:fldCharType="separate"/>
        </w:r>
        <w:r w:rsidR="00B23ACD">
          <w:rPr>
            <w:noProof/>
            <w:webHidden/>
          </w:rPr>
          <w:t>18</w:t>
        </w:r>
        <w:r w:rsidR="00B23ACD">
          <w:rPr>
            <w:noProof/>
            <w:webHidden/>
          </w:rPr>
          <w:fldChar w:fldCharType="end"/>
        </w:r>
      </w:hyperlink>
    </w:p>
    <w:p w:rsidR="00B23ACD" w:rsidRDefault="00E56D30">
      <w:pPr>
        <w:pStyle w:val="TableofFigures"/>
        <w:tabs>
          <w:tab w:val="right" w:leader="dot" w:pos="9350"/>
        </w:tabs>
        <w:rPr>
          <w:noProof/>
        </w:rPr>
      </w:pPr>
      <w:hyperlink r:id="rId14" w:anchor="_Toc346097113" w:history="1">
        <w:r w:rsidR="00B23ACD" w:rsidRPr="00DC3E74">
          <w:rPr>
            <w:rStyle w:val="Hyperlink"/>
            <w:noProof/>
          </w:rPr>
          <w:t>Figure 11. Trend in formula use among children 0-5 months</w:t>
        </w:r>
        <w:r w:rsidR="00B23ACD">
          <w:rPr>
            <w:noProof/>
            <w:webHidden/>
          </w:rPr>
          <w:tab/>
        </w:r>
        <w:r w:rsidR="00B23ACD">
          <w:rPr>
            <w:noProof/>
            <w:webHidden/>
          </w:rPr>
          <w:fldChar w:fldCharType="begin"/>
        </w:r>
        <w:r w:rsidR="00B23ACD">
          <w:rPr>
            <w:noProof/>
            <w:webHidden/>
          </w:rPr>
          <w:instrText xml:space="preserve"> PAGEREF _Toc346097113 \h </w:instrText>
        </w:r>
        <w:r w:rsidR="00B23ACD">
          <w:rPr>
            <w:noProof/>
            <w:webHidden/>
          </w:rPr>
        </w:r>
        <w:r w:rsidR="00B23ACD">
          <w:rPr>
            <w:noProof/>
            <w:webHidden/>
          </w:rPr>
          <w:fldChar w:fldCharType="separate"/>
        </w:r>
        <w:r w:rsidR="00B23ACD">
          <w:rPr>
            <w:noProof/>
            <w:webHidden/>
          </w:rPr>
          <w:t>19</w:t>
        </w:r>
        <w:r w:rsidR="00B23ACD">
          <w:rPr>
            <w:noProof/>
            <w:webHidden/>
          </w:rPr>
          <w:fldChar w:fldCharType="end"/>
        </w:r>
      </w:hyperlink>
    </w:p>
    <w:p w:rsidR="00B23ACD" w:rsidRDefault="00E56D30">
      <w:pPr>
        <w:pStyle w:val="TableofFigures"/>
        <w:tabs>
          <w:tab w:val="right" w:leader="dot" w:pos="9350"/>
        </w:tabs>
        <w:rPr>
          <w:noProof/>
        </w:rPr>
      </w:pPr>
      <w:hyperlink r:id="rId15" w:anchor="_Toc346097114" w:history="1">
        <w:r w:rsidR="00B23ACD" w:rsidRPr="00DC3E74">
          <w:rPr>
            <w:rStyle w:val="Hyperlink"/>
            <w:noProof/>
          </w:rPr>
          <w:t>Figure 12. Trend in formula use among children 6-23 months, CDHS 2000-2010</w:t>
        </w:r>
        <w:r w:rsidR="00B23ACD">
          <w:rPr>
            <w:noProof/>
            <w:webHidden/>
          </w:rPr>
          <w:tab/>
        </w:r>
        <w:r w:rsidR="00B23ACD">
          <w:rPr>
            <w:noProof/>
            <w:webHidden/>
          </w:rPr>
          <w:fldChar w:fldCharType="begin"/>
        </w:r>
        <w:r w:rsidR="00B23ACD">
          <w:rPr>
            <w:noProof/>
            <w:webHidden/>
          </w:rPr>
          <w:instrText xml:space="preserve"> PAGEREF _Toc346097114 \h </w:instrText>
        </w:r>
        <w:r w:rsidR="00B23ACD">
          <w:rPr>
            <w:noProof/>
            <w:webHidden/>
          </w:rPr>
        </w:r>
        <w:r w:rsidR="00B23ACD">
          <w:rPr>
            <w:noProof/>
            <w:webHidden/>
          </w:rPr>
          <w:fldChar w:fldCharType="separate"/>
        </w:r>
        <w:r w:rsidR="00B23ACD">
          <w:rPr>
            <w:noProof/>
            <w:webHidden/>
          </w:rPr>
          <w:t>19</w:t>
        </w:r>
        <w:r w:rsidR="00B23ACD">
          <w:rPr>
            <w:noProof/>
            <w:webHidden/>
          </w:rPr>
          <w:fldChar w:fldCharType="end"/>
        </w:r>
      </w:hyperlink>
    </w:p>
    <w:p w:rsidR="00B23ACD" w:rsidRDefault="00E56D30">
      <w:pPr>
        <w:pStyle w:val="TableofFigures"/>
        <w:tabs>
          <w:tab w:val="right" w:leader="dot" w:pos="9350"/>
        </w:tabs>
        <w:rPr>
          <w:noProof/>
        </w:rPr>
      </w:pPr>
      <w:hyperlink r:id="rId16" w:anchor="_Toc346097115" w:history="1">
        <w:r w:rsidR="00B23ACD" w:rsidRPr="00DC3E74">
          <w:rPr>
            <w:rStyle w:val="Hyperlink"/>
            <w:noProof/>
          </w:rPr>
          <w:t>Figure 13. Trend in bottle use by age, CDHS 2005-2010</w:t>
        </w:r>
        <w:r w:rsidR="00B23ACD">
          <w:rPr>
            <w:noProof/>
            <w:webHidden/>
          </w:rPr>
          <w:tab/>
        </w:r>
        <w:r w:rsidR="00B23ACD">
          <w:rPr>
            <w:noProof/>
            <w:webHidden/>
          </w:rPr>
          <w:fldChar w:fldCharType="begin"/>
        </w:r>
        <w:r w:rsidR="00B23ACD">
          <w:rPr>
            <w:noProof/>
            <w:webHidden/>
          </w:rPr>
          <w:instrText xml:space="preserve"> PAGEREF _Toc346097115 \h </w:instrText>
        </w:r>
        <w:r w:rsidR="00B23ACD">
          <w:rPr>
            <w:noProof/>
            <w:webHidden/>
          </w:rPr>
        </w:r>
        <w:r w:rsidR="00B23ACD">
          <w:rPr>
            <w:noProof/>
            <w:webHidden/>
          </w:rPr>
          <w:fldChar w:fldCharType="separate"/>
        </w:r>
        <w:r w:rsidR="00B23ACD">
          <w:rPr>
            <w:noProof/>
            <w:webHidden/>
          </w:rPr>
          <w:t>20</w:t>
        </w:r>
        <w:r w:rsidR="00B23ACD">
          <w:rPr>
            <w:noProof/>
            <w:webHidden/>
          </w:rPr>
          <w:fldChar w:fldCharType="end"/>
        </w:r>
      </w:hyperlink>
    </w:p>
    <w:p w:rsidR="00B23ACD" w:rsidRDefault="00E56D30">
      <w:pPr>
        <w:pStyle w:val="TableofFigures"/>
        <w:tabs>
          <w:tab w:val="right" w:leader="dot" w:pos="9350"/>
        </w:tabs>
        <w:rPr>
          <w:noProof/>
        </w:rPr>
      </w:pPr>
      <w:hyperlink r:id="rId17" w:anchor="_Toc346097116" w:history="1">
        <w:r w:rsidR="00B23ACD" w:rsidRPr="00DC3E74">
          <w:rPr>
            <w:rStyle w:val="Hyperlink"/>
            <w:noProof/>
          </w:rPr>
          <w:t>Figure 14. Trend in bottle use by residence and wealth, CDHS 2000-2010</w:t>
        </w:r>
        <w:r w:rsidR="00B23ACD">
          <w:rPr>
            <w:noProof/>
            <w:webHidden/>
          </w:rPr>
          <w:tab/>
        </w:r>
        <w:r w:rsidR="00B23ACD">
          <w:rPr>
            <w:noProof/>
            <w:webHidden/>
          </w:rPr>
          <w:fldChar w:fldCharType="begin"/>
        </w:r>
        <w:r w:rsidR="00B23ACD">
          <w:rPr>
            <w:noProof/>
            <w:webHidden/>
          </w:rPr>
          <w:instrText xml:space="preserve"> PAGEREF _Toc346097116 \h </w:instrText>
        </w:r>
        <w:r w:rsidR="00B23ACD">
          <w:rPr>
            <w:noProof/>
            <w:webHidden/>
          </w:rPr>
        </w:r>
        <w:r w:rsidR="00B23ACD">
          <w:rPr>
            <w:noProof/>
            <w:webHidden/>
          </w:rPr>
          <w:fldChar w:fldCharType="separate"/>
        </w:r>
        <w:r w:rsidR="00B23ACD">
          <w:rPr>
            <w:noProof/>
            <w:webHidden/>
          </w:rPr>
          <w:t>20</w:t>
        </w:r>
        <w:r w:rsidR="00B23ACD">
          <w:rPr>
            <w:noProof/>
            <w:webHidden/>
          </w:rPr>
          <w:fldChar w:fldCharType="end"/>
        </w:r>
      </w:hyperlink>
    </w:p>
    <w:p w:rsidR="00B23ACD" w:rsidRDefault="00E56D30">
      <w:pPr>
        <w:pStyle w:val="TableofFigures"/>
        <w:tabs>
          <w:tab w:val="right" w:leader="dot" w:pos="9350"/>
        </w:tabs>
        <w:rPr>
          <w:noProof/>
        </w:rPr>
      </w:pPr>
      <w:hyperlink r:id="rId18" w:anchor="_Toc346097117" w:history="1">
        <w:r w:rsidR="00B23ACD" w:rsidRPr="00DC3E74">
          <w:rPr>
            <w:rStyle w:val="Hyperlink"/>
            <w:noProof/>
          </w:rPr>
          <w:t>Figure 15. Trend in bottle use: Urban and rural by wealth, CDHS 2000-2010</w:t>
        </w:r>
        <w:r w:rsidR="00B23ACD">
          <w:rPr>
            <w:noProof/>
            <w:webHidden/>
          </w:rPr>
          <w:tab/>
        </w:r>
        <w:r w:rsidR="00B23ACD">
          <w:rPr>
            <w:noProof/>
            <w:webHidden/>
          </w:rPr>
          <w:fldChar w:fldCharType="begin"/>
        </w:r>
        <w:r w:rsidR="00B23ACD">
          <w:rPr>
            <w:noProof/>
            <w:webHidden/>
          </w:rPr>
          <w:instrText xml:space="preserve"> PAGEREF _Toc346097117 \h </w:instrText>
        </w:r>
        <w:r w:rsidR="00B23ACD">
          <w:rPr>
            <w:noProof/>
            <w:webHidden/>
          </w:rPr>
        </w:r>
        <w:r w:rsidR="00B23ACD">
          <w:rPr>
            <w:noProof/>
            <w:webHidden/>
          </w:rPr>
          <w:fldChar w:fldCharType="separate"/>
        </w:r>
        <w:r w:rsidR="00B23ACD">
          <w:rPr>
            <w:noProof/>
            <w:webHidden/>
          </w:rPr>
          <w:t>20</w:t>
        </w:r>
        <w:r w:rsidR="00B23ACD">
          <w:rPr>
            <w:noProof/>
            <w:webHidden/>
          </w:rPr>
          <w:fldChar w:fldCharType="end"/>
        </w:r>
      </w:hyperlink>
    </w:p>
    <w:p w:rsidR="0068681F" w:rsidRDefault="0068681F" w:rsidP="003C6D60">
      <w:r>
        <w:fldChar w:fldCharType="end"/>
      </w:r>
    </w:p>
    <w:p w:rsidR="0068681F" w:rsidRDefault="0068681F" w:rsidP="003C6D60"/>
    <w:p w:rsidR="00B23ACD" w:rsidRDefault="00B23ACD">
      <w:pPr>
        <w:pStyle w:val="TableofFigures"/>
        <w:tabs>
          <w:tab w:val="right" w:leader="dot" w:pos="9350"/>
        </w:tabs>
        <w:rPr>
          <w:noProof/>
        </w:rPr>
      </w:pPr>
      <w:r>
        <w:fldChar w:fldCharType="begin"/>
      </w:r>
      <w:r>
        <w:instrText xml:space="preserve"> TOC \h \z \c "Table" </w:instrText>
      </w:r>
      <w:r>
        <w:fldChar w:fldCharType="separate"/>
      </w:r>
      <w:hyperlink w:anchor="_Toc346097130" w:history="1">
        <w:r w:rsidRPr="00511AAD">
          <w:rPr>
            <w:rStyle w:val="Hyperlink"/>
            <w:noProof/>
          </w:rPr>
          <w:t>Table 1. Among women aged 15-49 receiving antenatal care (ANC) for their most recent birth in the five years preceding the survey, the percentage who received nutrition counseling as part of their ANC, according to background characteristics. Cambodia DHS 2010.</w:t>
        </w:r>
        <w:r>
          <w:rPr>
            <w:noProof/>
            <w:webHidden/>
          </w:rPr>
          <w:tab/>
        </w:r>
        <w:r>
          <w:rPr>
            <w:noProof/>
            <w:webHidden/>
          </w:rPr>
          <w:fldChar w:fldCharType="begin"/>
        </w:r>
        <w:r>
          <w:rPr>
            <w:noProof/>
            <w:webHidden/>
          </w:rPr>
          <w:instrText xml:space="preserve"> PAGEREF _Toc346097130 \h </w:instrText>
        </w:r>
        <w:r>
          <w:rPr>
            <w:noProof/>
            <w:webHidden/>
          </w:rPr>
        </w:r>
        <w:r>
          <w:rPr>
            <w:noProof/>
            <w:webHidden/>
          </w:rPr>
          <w:fldChar w:fldCharType="separate"/>
        </w:r>
        <w:r>
          <w:rPr>
            <w:noProof/>
            <w:webHidden/>
          </w:rPr>
          <w:t>5</w:t>
        </w:r>
        <w:r>
          <w:rPr>
            <w:noProof/>
            <w:webHidden/>
          </w:rPr>
          <w:fldChar w:fldCharType="end"/>
        </w:r>
      </w:hyperlink>
    </w:p>
    <w:p w:rsidR="00B23ACD" w:rsidRDefault="00E56D30">
      <w:pPr>
        <w:pStyle w:val="TableofFigures"/>
        <w:tabs>
          <w:tab w:val="right" w:leader="dot" w:pos="9350"/>
        </w:tabs>
        <w:rPr>
          <w:noProof/>
        </w:rPr>
      </w:pPr>
      <w:hyperlink w:anchor="_Toc346097131" w:history="1">
        <w:r w:rsidR="00B23ACD" w:rsidRPr="00511AAD">
          <w:rPr>
            <w:rStyle w:val="Hyperlink"/>
            <w:noProof/>
          </w:rPr>
          <w:t>Table 2. Among non-pregnant women aged 15-49, the percentage taking weekly iron tablets, according to background characteristics. Cambodia DHS 2010</w:t>
        </w:r>
        <w:r w:rsidR="00B23ACD">
          <w:rPr>
            <w:noProof/>
            <w:webHidden/>
          </w:rPr>
          <w:tab/>
        </w:r>
        <w:r w:rsidR="00B23ACD">
          <w:rPr>
            <w:noProof/>
            <w:webHidden/>
          </w:rPr>
          <w:fldChar w:fldCharType="begin"/>
        </w:r>
        <w:r w:rsidR="00B23ACD">
          <w:rPr>
            <w:noProof/>
            <w:webHidden/>
          </w:rPr>
          <w:instrText xml:space="preserve"> PAGEREF _Toc346097131 \h </w:instrText>
        </w:r>
        <w:r w:rsidR="00B23ACD">
          <w:rPr>
            <w:noProof/>
            <w:webHidden/>
          </w:rPr>
        </w:r>
        <w:r w:rsidR="00B23ACD">
          <w:rPr>
            <w:noProof/>
            <w:webHidden/>
          </w:rPr>
          <w:fldChar w:fldCharType="separate"/>
        </w:r>
        <w:r w:rsidR="00B23ACD">
          <w:rPr>
            <w:noProof/>
            <w:webHidden/>
          </w:rPr>
          <w:t>6</w:t>
        </w:r>
        <w:r w:rsidR="00B23ACD">
          <w:rPr>
            <w:noProof/>
            <w:webHidden/>
          </w:rPr>
          <w:fldChar w:fldCharType="end"/>
        </w:r>
      </w:hyperlink>
    </w:p>
    <w:p w:rsidR="00B23ACD" w:rsidRDefault="00E56D30">
      <w:pPr>
        <w:pStyle w:val="TableofFigures"/>
        <w:tabs>
          <w:tab w:val="right" w:leader="dot" w:pos="9350"/>
        </w:tabs>
        <w:rPr>
          <w:noProof/>
        </w:rPr>
      </w:pPr>
      <w:hyperlink w:anchor="_Toc346097132" w:history="1">
        <w:r w:rsidR="00B23ACD" w:rsidRPr="00511AAD">
          <w:rPr>
            <w:rStyle w:val="Hyperlink"/>
            <w:noProof/>
          </w:rPr>
          <w:t>Table 3. Percent of children aged 6-59 months who received micronutrient powder in the 7 days preceding the survey, according to background characteristics. Cambodia DHS 2010</w:t>
        </w:r>
        <w:r w:rsidR="00B23ACD">
          <w:rPr>
            <w:noProof/>
            <w:webHidden/>
          </w:rPr>
          <w:tab/>
        </w:r>
        <w:r w:rsidR="00B23ACD">
          <w:rPr>
            <w:noProof/>
            <w:webHidden/>
          </w:rPr>
          <w:fldChar w:fldCharType="begin"/>
        </w:r>
        <w:r w:rsidR="00B23ACD">
          <w:rPr>
            <w:noProof/>
            <w:webHidden/>
          </w:rPr>
          <w:instrText xml:space="preserve"> PAGEREF _Toc346097132 \h </w:instrText>
        </w:r>
        <w:r w:rsidR="00B23ACD">
          <w:rPr>
            <w:noProof/>
            <w:webHidden/>
          </w:rPr>
        </w:r>
        <w:r w:rsidR="00B23ACD">
          <w:rPr>
            <w:noProof/>
            <w:webHidden/>
          </w:rPr>
          <w:fldChar w:fldCharType="separate"/>
        </w:r>
        <w:r w:rsidR="00B23ACD">
          <w:rPr>
            <w:noProof/>
            <w:webHidden/>
          </w:rPr>
          <w:t>7</w:t>
        </w:r>
        <w:r w:rsidR="00B23ACD">
          <w:rPr>
            <w:noProof/>
            <w:webHidden/>
          </w:rPr>
          <w:fldChar w:fldCharType="end"/>
        </w:r>
      </w:hyperlink>
    </w:p>
    <w:p w:rsidR="00B23ACD" w:rsidRDefault="00E56D30">
      <w:pPr>
        <w:pStyle w:val="TableofFigures"/>
        <w:tabs>
          <w:tab w:val="right" w:leader="dot" w:pos="9350"/>
        </w:tabs>
        <w:rPr>
          <w:noProof/>
        </w:rPr>
      </w:pPr>
      <w:hyperlink w:anchor="_Toc346097133" w:history="1">
        <w:r w:rsidR="00B23ACD" w:rsidRPr="00511AAD">
          <w:rPr>
            <w:rStyle w:val="Hyperlink"/>
            <w:noProof/>
          </w:rPr>
          <w:t>Table 4. Hemoglobin by postpartum iron folic acid supplementation among women delivering within the last six months CDHS 2010</w:t>
        </w:r>
        <w:r w:rsidR="00B23ACD">
          <w:rPr>
            <w:noProof/>
            <w:webHidden/>
          </w:rPr>
          <w:tab/>
        </w:r>
        <w:r w:rsidR="00B23ACD">
          <w:rPr>
            <w:noProof/>
            <w:webHidden/>
          </w:rPr>
          <w:fldChar w:fldCharType="begin"/>
        </w:r>
        <w:r w:rsidR="00B23ACD">
          <w:rPr>
            <w:noProof/>
            <w:webHidden/>
          </w:rPr>
          <w:instrText xml:space="preserve"> PAGEREF _Toc346097133 \h </w:instrText>
        </w:r>
        <w:r w:rsidR="00B23ACD">
          <w:rPr>
            <w:noProof/>
            <w:webHidden/>
          </w:rPr>
        </w:r>
        <w:r w:rsidR="00B23ACD">
          <w:rPr>
            <w:noProof/>
            <w:webHidden/>
          </w:rPr>
          <w:fldChar w:fldCharType="separate"/>
        </w:r>
        <w:r w:rsidR="00B23ACD">
          <w:rPr>
            <w:noProof/>
            <w:webHidden/>
          </w:rPr>
          <w:t>12</w:t>
        </w:r>
        <w:r w:rsidR="00B23ACD">
          <w:rPr>
            <w:noProof/>
            <w:webHidden/>
          </w:rPr>
          <w:fldChar w:fldCharType="end"/>
        </w:r>
      </w:hyperlink>
    </w:p>
    <w:p w:rsidR="00B23ACD" w:rsidRDefault="00E56D30">
      <w:pPr>
        <w:pStyle w:val="TableofFigures"/>
        <w:tabs>
          <w:tab w:val="right" w:leader="dot" w:pos="9350"/>
        </w:tabs>
        <w:rPr>
          <w:noProof/>
        </w:rPr>
      </w:pPr>
      <w:hyperlink w:anchor="_Toc346097134" w:history="1">
        <w:r w:rsidR="00B23ACD" w:rsidRPr="00511AAD">
          <w:rPr>
            <w:rStyle w:val="Hyperlink"/>
            <w:noProof/>
          </w:rPr>
          <w:t>Table 5. Anemia by postpartum iron folic acid supplementation among women delivering withing the last six months, CDHS 2010</w:t>
        </w:r>
        <w:r w:rsidR="00B23ACD">
          <w:rPr>
            <w:noProof/>
            <w:webHidden/>
          </w:rPr>
          <w:tab/>
        </w:r>
        <w:r w:rsidR="00B23ACD">
          <w:rPr>
            <w:noProof/>
            <w:webHidden/>
          </w:rPr>
          <w:fldChar w:fldCharType="begin"/>
        </w:r>
        <w:r w:rsidR="00B23ACD">
          <w:rPr>
            <w:noProof/>
            <w:webHidden/>
          </w:rPr>
          <w:instrText xml:space="preserve"> PAGEREF _Toc346097134 \h </w:instrText>
        </w:r>
        <w:r w:rsidR="00B23ACD">
          <w:rPr>
            <w:noProof/>
            <w:webHidden/>
          </w:rPr>
        </w:r>
        <w:r w:rsidR="00B23ACD">
          <w:rPr>
            <w:noProof/>
            <w:webHidden/>
          </w:rPr>
          <w:fldChar w:fldCharType="separate"/>
        </w:r>
        <w:r w:rsidR="00B23ACD">
          <w:rPr>
            <w:noProof/>
            <w:webHidden/>
          </w:rPr>
          <w:t>12</w:t>
        </w:r>
        <w:r w:rsidR="00B23ACD">
          <w:rPr>
            <w:noProof/>
            <w:webHidden/>
          </w:rPr>
          <w:fldChar w:fldCharType="end"/>
        </w:r>
      </w:hyperlink>
    </w:p>
    <w:p w:rsidR="00B23ACD" w:rsidRDefault="00E56D30">
      <w:pPr>
        <w:pStyle w:val="TableofFigures"/>
        <w:tabs>
          <w:tab w:val="right" w:leader="dot" w:pos="9350"/>
        </w:tabs>
        <w:rPr>
          <w:noProof/>
        </w:rPr>
      </w:pPr>
      <w:hyperlink w:anchor="_Toc346097135" w:history="1">
        <w:r w:rsidR="00B23ACD" w:rsidRPr="00511AAD">
          <w:rPr>
            <w:rStyle w:val="Hyperlink"/>
            <w:noProof/>
          </w:rPr>
          <w:t>Table 6. Early initiation of breastfeeding and prelacteal feeding by place of delivery, CDHS 2000-2010</w:t>
        </w:r>
        <w:r w:rsidR="00B23ACD">
          <w:rPr>
            <w:noProof/>
            <w:webHidden/>
          </w:rPr>
          <w:tab/>
        </w:r>
        <w:r w:rsidR="00B23ACD">
          <w:rPr>
            <w:noProof/>
            <w:webHidden/>
          </w:rPr>
          <w:fldChar w:fldCharType="begin"/>
        </w:r>
        <w:r w:rsidR="00B23ACD">
          <w:rPr>
            <w:noProof/>
            <w:webHidden/>
          </w:rPr>
          <w:instrText xml:space="preserve"> PAGEREF _Toc346097135 \h </w:instrText>
        </w:r>
        <w:r w:rsidR="00B23ACD">
          <w:rPr>
            <w:noProof/>
            <w:webHidden/>
          </w:rPr>
        </w:r>
        <w:r w:rsidR="00B23ACD">
          <w:rPr>
            <w:noProof/>
            <w:webHidden/>
          </w:rPr>
          <w:fldChar w:fldCharType="separate"/>
        </w:r>
        <w:r w:rsidR="00B23ACD">
          <w:rPr>
            <w:noProof/>
            <w:webHidden/>
          </w:rPr>
          <w:t>16</w:t>
        </w:r>
        <w:r w:rsidR="00B23ACD">
          <w:rPr>
            <w:noProof/>
            <w:webHidden/>
          </w:rPr>
          <w:fldChar w:fldCharType="end"/>
        </w:r>
      </w:hyperlink>
    </w:p>
    <w:p w:rsidR="00B23ACD" w:rsidRDefault="00E56D30">
      <w:pPr>
        <w:pStyle w:val="TableofFigures"/>
        <w:tabs>
          <w:tab w:val="right" w:leader="dot" w:pos="9350"/>
        </w:tabs>
        <w:rPr>
          <w:noProof/>
        </w:rPr>
      </w:pPr>
      <w:hyperlink w:anchor="_Toc346097136" w:history="1">
        <w:r w:rsidR="00B23ACD" w:rsidRPr="00511AAD">
          <w:rPr>
            <w:rStyle w:val="Hyperlink"/>
            <w:noProof/>
          </w:rPr>
          <w:t>Table 7. Formula use by residence, wealth, and age of child, CDHS 2000-2010</w:t>
        </w:r>
        <w:r w:rsidR="00B23ACD">
          <w:rPr>
            <w:noProof/>
            <w:webHidden/>
          </w:rPr>
          <w:tab/>
        </w:r>
        <w:r w:rsidR="00B23ACD">
          <w:rPr>
            <w:noProof/>
            <w:webHidden/>
          </w:rPr>
          <w:fldChar w:fldCharType="begin"/>
        </w:r>
        <w:r w:rsidR="00B23ACD">
          <w:rPr>
            <w:noProof/>
            <w:webHidden/>
          </w:rPr>
          <w:instrText xml:space="preserve"> PAGEREF _Toc346097136 \h </w:instrText>
        </w:r>
        <w:r w:rsidR="00B23ACD">
          <w:rPr>
            <w:noProof/>
            <w:webHidden/>
          </w:rPr>
        </w:r>
        <w:r w:rsidR="00B23ACD">
          <w:rPr>
            <w:noProof/>
            <w:webHidden/>
          </w:rPr>
          <w:fldChar w:fldCharType="separate"/>
        </w:r>
        <w:r w:rsidR="00B23ACD">
          <w:rPr>
            <w:noProof/>
            <w:webHidden/>
          </w:rPr>
          <w:t>18</w:t>
        </w:r>
        <w:r w:rsidR="00B23ACD">
          <w:rPr>
            <w:noProof/>
            <w:webHidden/>
          </w:rPr>
          <w:fldChar w:fldCharType="end"/>
        </w:r>
      </w:hyperlink>
    </w:p>
    <w:p w:rsidR="0068681F" w:rsidRDefault="00B23ACD" w:rsidP="003C6D60">
      <w:r>
        <w:fldChar w:fldCharType="end"/>
      </w:r>
    </w:p>
    <w:p w:rsidR="00FD541F" w:rsidRDefault="00FD541F">
      <w:r>
        <w:br w:type="page"/>
      </w:r>
    </w:p>
    <w:p w:rsidR="00FD541F" w:rsidRDefault="00FD541F" w:rsidP="00FD541F">
      <w:pPr>
        <w:pStyle w:val="Heading1"/>
      </w:pPr>
      <w:r>
        <w:lastRenderedPageBreak/>
        <w:t>Executive Summary</w:t>
      </w:r>
    </w:p>
    <w:p w:rsidR="00FD541F" w:rsidRPr="00FD541F" w:rsidRDefault="00FD541F" w:rsidP="00FD541F"/>
    <w:p w:rsidR="00D86E56" w:rsidRDefault="00D86E56" w:rsidP="0068681F">
      <w:pPr>
        <w:sectPr w:rsidR="00D86E56" w:rsidSect="00FD541F">
          <w:pgSz w:w="12240" w:h="15840"/>
          <w:pgMar w:top="1440" w:right="1440" w:bottom="1440" w:left="1440" w:header="720" w:footer="720" w:gutter="0"/>
          <w:cols w:space="440"/>
          <w:docGrid w:linePitch="360"/>
        </w:sectPr>
      </w:pPr>
    </w:p>
    <w:p w:rsidR="00FD541F" w:rsidRDefault="005363F1" w:rsidP="0068681F">
      <w:r>
        <w:lastRenderedPageBreak/>
        <w:t xml:space="preserve">The 2010 </w:t>
      </w:r>
      <w:r w:rsidR="00FD541F">
        <w:t>CDHS</w:t>
      </w:r>
      <w:r>
        <w:t xml:space="preserve"> included some nutrition-related</w:t>
      </w:r>
      <w:r w:rsidR="00FD541F">
        <w:t xml:space="preserve"> </w:t>
      </w:r>
      <w:r>
        <w:t>questions</w:t>
      </w:r>
      <w:r w:rsidR="00FD541F">
        <w:t xml:space="preserve"> that </w:t>
      </w:r>
      <w:r>
        <w:t>were not analyzed. Indicators missing from the CDHS 2010 report include micronutrient powder (MNP), weekly iron folic acid (WIF) and nutrition counseling during antenatal care</w:t>
      </w:r>
      <w:r w:rsidR="00FD541F">
        <w:t>. Baseline estimates for MNP and WIF are 1.7% and 4% respectively. More than 80% of women attending antenatal care report receiving nutrition counseling. More information is needed on the quality</w:t>
      </w:r>
      <w:r>
        <w:t xml:space="preserve"> and impact</w:t>
      </w:r>
      <w:r w:rsidR="00FD541F">
        <w:t xml:space="preserve"> of </w:t>
      </w:r>
      <w:r>
        <w:t>nutrition</w:t>
      </w:r>
      <w:r w:rsidR="00FD541F">
        <w:t xml:space="preserve"> counseling.</w:t>
      </w:r>
    </w:p>
    <w:p w:rsidR="00534C22" w:rsidRDefault="00534C22" w:rsidP="00534C22">
      <w:r>
        <w:t xml:space="preserve">At the national level improvement in </w:t>
      </w:r>
      <w:r w:rsidR="005363F1">
        <w:t>child nutrition</w:t>
      </w:r>
      <w:r>
        <w:t xml:space="preserve"> stagnated from 2005 to 2010. Worsening nutritional status of one group was not the cause of this stagnation. Rather, there was stagnation among all groups, except the lower wealth quintiles of urban areas.</w:t>
      </w:r>
      <w:r w:rsidR="00B75F95">
        <w:t xml:space="preserve"> The data suggests higher food prices are not the only reason for</w:t>
      </w:r>
      <w:r w:rsidR="005363F1">
        <w:t xml:space="preserve"> stagnation in nutritional improvement</w:t>
      </w:r>
      <w:r w:rsidR="00B75F95">
        <w:t xml:space="preserve">. </w:t>
      </w:r>
      <w:r w:rsidR="00127B74">
        <w:t xml:space="preserve">Along with slowed </w:t>
      </w:r>
      <w:r w:rsidR="00B75F95">
        <w:t>poverty reduction</w:t>
      </w:r>
      <w:r w:rsidR="00127B74">
        <w:t xml:space="preserve">, </w:t>
      </w:r>
      <w:r w:rsidR="006B5F88">
        <w:t>poor sanitation and inadequate child</w:t>
      </w:r>
      <w:r w:rsidR="00AA03DB">
        <w:t xml:space="preserve"> and maternal</w:t>
      </w:r>
      <w:r w:rsidR="006B5F88">
        <w:t xml:space="preserve"> </w:t>
      </w:r>
      <w:r w:rsidR="00AA03DB">
        <w:t>diet</w:t>
      </w:r>
      <w:r w:rsidR="006B5F88">
        <w:t xml:space="preserve"> are restricting further progress in child nutrition</w:t>
      </w:r>
      <w:r w:rsidR="00B75F95">
        <w:t xml:space="preserve"> among all wealth quintiles in rural areas</w:t>
      </w:r>
      <w:r w:rsidR="006B5F88">
        <w:t>.</w:t>
      </w:r>
      <w:r w:rsidR="005363F1">
        <w:t xml:space="preserve"> For urban areas</w:t>
      </w:r>
      <w:r w:rsidR="00127B74">
        <w:t>,</w:t>
      </w:r>
      <w:r w:rsidR="00B75F95">
        <w:t xml:space="preserve"> where </w:t>
      </w:r>
      <w:r w:rsidR="00AA03DB">
        <w:t>toilet use became nearly universal by 2010</w:t>
      </w:r>
      <w:r w:rsidR="00B75F95">
        <w:t>,</w:t>
      </w:r>
      <w:r w:rsidR="00AA03DB">
        <w:t xml:space="preserve"> improvement has continued in most wealth quintiles. Inadequate maternal and child feeding may be </w:t>
      </w:r>
      <w:r w:rsidR="00D86712">
        <w:t>the only remaining</w:t>
      </w:r>
      <w:r w:rsidR="00AA03DB">
        <w:t xml:space="preserve"> barrier to further improvement </w:t>
      </w:r>
      <w:r w:rsidR="00091037">
        <w:t xml:space="preserve">in most </w:t>
      </w:r>
      <w:r w:rsidR="00AA03DB">
        <w:t>urban areas. For urban areas</w:t>
      </w:r>
      <w:r w:rsidR="00AA03DB" w:rsidRPr="00AA03DB">
        <w:t xml:space="preserve"> </w:t>
      </w:r>
      <w:r w:rsidR="00AA03DB">
        <w:t>MDG 2015 targets on child nutrition have already been met and the</w:t>
      </w:r>
      <w:r w:rsidR="00D86712">
        <w:t>re is a</w:t>
      </w:r>
      <w:r w:rsidR="00AA03DB">
        <w:t xml:space="preserve"> growing gap between urban and</w:t>
      </w:r>
      <w:r w:rsidR="005363F1">
        <w:t xml:space="preserve"> </w:t>
      </w:r>
      <w:r w:rsidR="006B5F88">
        <w:t xml:space="preserve">rural areas </w:t>
      </w:r>
      <w:r w:rsidR="00D86712">
        <w:t>for child nutrition</w:t>
      </w:r>
      <w:r w:rsidR="006B5F88">
        <w:t xml:space="preserve">. </w:t>
      </w:r>
    </w:p>
    <w:p w:rsidR="00534C22" w:rsidRDefault="00534C22" w:rsidP="00534C22">
      <w:r>
        <w:t xml:space="preserve">This analysis provides the first national evidence on the effectiveness of the </w:t>
      </w:r>
      <w:r w:rsidR="006B5F88">
        <w:t>iron folic acid (IFA)</w:t>
      </w:r>
      <w:r>
        <w:t xml:space="preserve"> supplementation </w:t>
      </w:r>
      <w:proofErr w:type="spellStart"/>
      <w:r>
        <w:t>programme</w:t>
      </w:r>
      <w:proofErr w:type="spellEnd"/>
      <w:r w:rsidR="006B5F88">
        <w:t xml:space="preserve"> for pregnant and postpartum women</w:t>
      </w:r>
      <w:r>
        <w:t xml:space="preserve"> in Cambodia.</w:t>
      </w:r>
      <w:r w:rsidR="006B5F88">
        <w:t xml:space="preserve"> Coverage of IFA supplementation has increased in recent years </w:t>
      </w:r>
      <w:r w:rsidR="006B5F88">
        <w:lastRenderedPageBreak/>
        <w:t>and there is</w:t>
      </w:r>
      <w:r>
        <w:t xml:space="preserve"> moderately strong evidence that </w:t>
      </w:r>
      <w:r w:rsidR="006B5F88">
        <w:t>it</w:t>
      </w:r>
      <w:r>
        <w:t xml:space="preserve"> is reducing anemia levels during pregnancy and postpartum. </w:t>
      </w:r>
      <w:r w:rsidR="00842FDF">
        <w:t>IFA supplementation</w:t>
      </w:r>
      <w:r>
        <w:t xml:space="preserve"> is likely contributing to a reduction in low birth weight and decreased </w:t>
      </w:r>
      <w:r w:rsidR="00842FDF">
        <w:t xml:space="preserve">child </w:t>
      </w:r>
      <w:r>
        <w:t xml:space="preserve">anemia in the first six months, but this impact </w:t>
      </w:r>
      <w:r w:rsidR="00842FDF">
        <w:t>is not yet measurable</w:t>
      </w:r>
      <w:r>
        <w:t>.</w:t>
      </w:r>
    </w:p>
    <w:p w:rsidR="00842FDF" w:rsidRDefault="00534C22" w:rsidP="00534C22">
      <w:r>
        <w:t>Breastfeeding practices have seen remarkable improvement over the last decade</w:t>
      </w:r>
      <w:r w:rsidR="00842FDF">
        <w:t>. Changes in exclusive breastfeeding (only breastfeeding for the first six months) were well documented after CDHS 2005, but there has not been in-depth analysis of starting breastfeeding just after birth</w:t>
      </w:r>
      <w:r w:rsidR="00C302AB">
        <w:t xml:space="preserve"> (early initiation)</w:t>
      </w:r>
      <w:r w:rsidR="00842FDF">
        <w:t>.</w:t>
      </w:r>
      <w:r>
        <w:t xml:space="preserve"> </w:t>
      </w:r>
      <w:r w:rsidR="00842FDF">
        <w:t xml:space="preserve">Trend analysis shows that the public health sector played a major role in the equitable improvement of early initiation. </w:t>
      </w:r>
      <w:proofErr w:type="spellStart"/>
      <w:r w:rsidR="00842FDF">
        <w:t>Prelacteal</w:t>
      </w:r>
      <w:proofErr w:type="spellEnd"/>
      <w:r w:rsidR="00842FDF">
        <w:t xml:space="preserve"> feeding, or giving liquid to children just after birth, was the major reason for early initiation not happening. This analysis also shows that </w:t>
      </w:r>
      <w:proofErr w:type="spellStart"/>
      <w:r w:rsidR="00842FDF">
        <w:t>prelacteal</w:t>
      </w:r>
      <w:proofErr w:type="spellEnd"/>
      <w:r w:rsidR="00842FDF">
        <w:t xml:space="preserve"> feeding trends from the DHS reports are not correct because water was not included as a </w:t>
      </w:r>
      <w:proofErr w:type="spellStart"/>
      <w:r w:rsidR="00842FDF">
        <w:t>prelacteal</w:t>
      </w:r>
      <w:proofErr w:type="spellEnd"/>
      <w:r w:rsidR="00842FDF">
        <w:t xml:space="preserve"> feed in 2000. Revised estimates show that early initiation and </w:t>
      </w:r>
      <w:proofErr w:type="spellStart"/>
      <w:r w:rsidR="00842FDF">
        <w:t>prelacteal</w:t>
      </w:r>
      <w:proofErr w:type="spellEnd"/>
      <w:r w:rsidR="00842FDF">
        <w:t xml:space="preserve"> feeding changed at the same time.</w:t>
      </w:r>
    </w:p>
    <w:p w:rsidR="00AA03DB" w:rsidRDefault="00A17614" w:rsidP="00534C22">
      <w:pPr>
        <w:rPr>
          <w:rFonts w:cs="Times New Roman"/>
          <w:szCs w:val="22"/>
        </w:rPr>
        <w:sectPr w:rsidR="00AA03DB" w:rsidSect="00AA03DB">
          <w:type w:val="continuous"/>
          <w:pgSz w:w="12240" w:h="15840"/>
          <w:pgMar w:top="1440" w:right="1440" w:bottom="1440" w:left="1440" w:header="720" w:footer="720" w:gutter="0"/>
          <w:cols w:num="2" w:space="440"/>
          <w:docGrid w:linePitch="360"/>
        </w:sectPr>
      </w:pPr>
      <w:r>
        <w:t xml:space="preserve">For children less than six months there were large increases in formula use from 2000 to 2005, but after 2005 formula use has decreased or stagnated for all groups. This is likely the result of the heavy focus of public health campaigns on exclusive breastfeeding for the first six months. It appears that breastfeeding protection efforts have been effective for the youngest children. However, </w:t>
      </w:r>
      <w:r>
        <w:rPr>
          <w:rFonts w:cs="Times New Roman"/>
          <w:szCs w:val="22"/>
        </w:rPr>
        <w:t>f</w:t>
      </w:r>
      <w:r w:rsidR="00534C22" w:rsidRPr="00534C22">
        <w:rPr>
          <w:rFonts w:cs="Times New Roman"/>
          <w:szCs w:val="22"/>
        </w:rPr>
        <w:t>or urban areas formula use among children 6-23 months nearly doubled from 2005 to 2010. These trends may be the result of increase</w:t>
      </w:r>
      <w:r>
        <w:rPr>
          <w:rFonts w:cs="Times New Roman"/>
          <w:szCs w:val="22"/>
        </w:rPr>
        <w:t>d promotion of “follow-on milk.”</w:t>
      </w:r>
      <w:r w:rsidR="00534C22" w:rsidRPr="00534C22">
        <w:rPr>
          <w:rFonts w:cs="Times New Roman"/>
          <w:szCs w:val="22"/>
        </w:rPr>
        <w:t xml:space="preserve"> </w:t>
      </w:r>
      <w:r>
        <w:rPr>
          <w:rFonts w:cs="Times New Roman"/>
          <w:szCs w:val="22"/>
        </w:rPr>
        <w:t>T</w:t>
      </w:r>
      <w:r w:rsidR="00534C22" w:rsidRPr="00534C22">
        <w:rPr>
          <w:rFonts w:cs="Times New Roman"/>
          <w:szCs w:val="22"/>
        </w:rPr>
        <w:t>he use of “follow-on milk” is associated with a higher risk for diabetes and other chronic disease la</w:t>
      </w:r>
      <w:r>
        <w:rPr>
          <w:rFonts w:cs="Times New Roman"/>
          <w:szCs w:val="22"/>
        </w:rPr>
        <w:t xml:space="preserve">ter </w:t>
      </w:r>
    </w:p>
    <w:p w:rsidR="00534C22" w:rsidRPr="00A17614" w:rsidRDefault="00A17614" w:rsidP="00534C22">
      <w:proofErr w:type="gramStart"/>
      <w:r>
        <w:rPr>
          <w:rFonts w:cs="Times New Roman"/>
          <w:szCs w:val="22"/>
        </w:rPr>
        <w:lastRenderedPageBreak/>
        <w:t>in</w:t>
      </w:r>
      <w:proofErr w:type="gramEnd"/>
      <w:r>
        <w:rPr>
          <w:rFonts w:cs="Times New Roman"/>
          <w:szCs w:val="22"/>
        </w:rPr>
        <w:t xml:space="preserve"> life. Illegal promotion by the private sector </w:t>
      </w:r>
      <w:r w:rsidR="00172A15">
        <w:rPr>
          <w:rFonts w:cs="Times New Roman"/>
          <w:szCs w:val="22"/>
        </w:rPr>
        <w:t>could be threatening</w:t>
      </w:r>
      <w:r>
        <w:rPr>
          <w:rFonts w:cs="Times New Roman"/>
          <w:szCs w:val="22"/>
        </w:rPr>
        <w:t xml:space="preserve"> the recent gains made in infant and young child feeding.</w:t>
      </w:r>
      <w:r w:rsidR="00534C22" w:rsidRPr="00534C22">
        <w:rPr>
          <w:rFonts w:cs="Times New Roman"/>
          <w:szCs w:val="22"/>
        </w:rPr>
        <w:t xml:space="preserve"> </w:t>
      </w:r>
    </w:p>
    <w:p w:rsidR="00D86E56" w:rsidRDefault="00D86E56" w:rsidP="003834D8">
      <w:pPr>
        <w:sectPr w:rsidR="00D86E56" w:rsidSect="00AA03DB">
          <w:type w:val="continuous"/>
          <w:pgSz w:w="12240" w:h="15840"/>
          <w:pgMar w:top="1440" w:right="1440" w:bottom="1440" w:left="1440" w:header="720" w:footer="720" w:gutter="0"/>
          <w:cols w:num="2" w:space="440"/>
          <w:docGrid w:linePitch="360"/>
        </w:sectPr>
      </w:pPr>
      <w:r>
        <w:lastRenderedPageBreak/>
        <w:t xml:space="preserve">Trend analysis shows a substantial increase in bottle use over the last five years. Most of the change has occurred among children older than </w:t>
      </w:r>
    </w:p>
    <w:p w:rsidR="00D86E56" w:rsidRDefault="00D86E56" w:rsidP="003834D8">
      <w:pPr>
        <w:sectPr w:rsidR="00D86E56" w:rsidSect="00AA03DB">
          <w:type w:val="continuous"/>
          <w:pgSz w:w="12240" w:h="15840"/>
          <w:pgMar w:top="1440" w:right="1440" w:bottom="1440" w:left="1440" w:header="720" w:footer="720" w:gutter="0"/>
          <w:cols w:num="2" w:space="440"/>
          <w:docGrid w:linePitch="360"/>
        </w:sectPr>
      </w:pPr>
      <w:proofErr w:type="gramStart"/>
      <w:r>
        <w:lastRenderedPageBreak/>
        <w:t>six</w:t>
      </w:r>
      <w:proofErr w:type="gramEnd"/>
      <w:r>
        <w:t xml:space="preserve"> months, with bottle use nearly tripling among children 6 to 9 months. T</w:t>
      </w:r>
      <w:r w:rsidR="00B3141E">
        <w:t>he</w:t>
      </w:r>
      <w:r>
        <w:t xml:space="preserve"> increase has happened in all areas, with the</w:t>
      </w:r>
      <w:r w:rsidR="00B3141E">
        <w:t xml:space="preserve"> sharpest increase </w:t>
      </w:r>
      <w:r>
        <w:t>occurring</w:t>
      </w:r>
      <w:r w:rsidR="00B3141E">
        <w:t xml:space="preserve"> among urban poor. Increased bottle use in rural areas and among urban poor </w:t>
      </w:r>
      <w:r w:rsidR="00091037">
        <w:t>is</w:t>
      </w:r>
      <w:r w:rsidR="00B3141E">
        <w:t xml:space="preserve"> of particular concern because of</w:t>
      </w:r>
      <w:r>
        <w:t xml:space="preserve"> poor sanitation in </w:t>
      </w:r>
      <w:r>
        <w:lastRenderedPageBreak/>
        <w:t>these areas; the trend of bottle use is likely to be limiting the effectiveness of interventions to reduce infectious diseases. If high rates of diarrhea persist, this will be a barrier to further improvement in child nutrition.</w:t>
      </w:r>
      <w:r w:rsidR="00B3141E">
        <w:t xml:space="preserve"> </w:t>
      </w:r>
    </w:p>
    <w:p w:rsidR="0093447C" w:rsidRDefault="0093447C" w:rsidP="003834D8">
      <w:pPr>
        <w:sectPr w:rsidR="0093447C" w:rsidSect="00D86E56">
          <w:type w:val="continuous"/>
          <w:pgSz w:w="12240" w:h="15840"/>
          <w:pgMar w:top="1440" w:right="1440" w:bottom="1440" w:left="1440" w:header="720" w:footer="720" w:gutter="0"/>
          <w:cols w:num="2" w:space="440"/>
          <w:docGrid w:linePitch="360"/>
        </w:sectPr>
      </w:pPr>
    </w:p>
    <w:p w:rsidR="00B3141E" w:rsidRDefault="00B3141E" w:rsidP="003834D8"/>
    <w:p w:rsidR="00D86E56" w:rsidRDefault="00D86E56" w:rsidP="00534C22">
      <w:pPr>
        <w:rPr>
          <w:szCs w:val="22"/>
        </w:rPr>
        <w:sectPr w:rsidR="00D86E56" w:rsidSect="00D86E56">
          <w:type w:val="continuous"/>
          <w:pgSz w:w="12240" w:h="15840"/>
          <w:pgMar w:top="1440" w:right="1440" w:bottom="1440" w:left="1440" w:header="720" w:footer="720" w:gutter="0"/>
          <w:cols w:num="2" w:space="440"/>
          <w:docGrid w:linePitch="360"/>
        </w:sectPr>
      </w:pPr>
    </w:p>
    <w:p w:rsidR="00B3141E" w:rsidRPr="00534C22" w:rsidRDefault="00B3141E" w:rsidP="00534C22">
      <w:pPr>
        <w:rPr>
          <w:szCs w:val="22"/>
        </w:rPr>
      </w:pPr>
    </w:p>
    <w:p w:rsidR="00534C22" w:rsidRDefault="00534C22" w:rsidP="00534C22"/>
    <w:p w:rsidR="00534C22" w:rsidRDefault="00534C22" w:rsidP="00534C22"/>
    <w:p w:rsidR="00534C22" w:rsidRDefault="00534C22" w:rsidP="00534C22"/>
    <w:p w:rsidR="00534C22" w:rsidRDefault="00534C22" w:rsidP="00534C22"/>
    <w:p w:rsidR="00534C22" w:rsidRDefault="00534C22" w:rsidP="00534C22">
      <w:r>
        <w:t xml:space="preserve">      </w:t>
      </w:r>
    </w:p>
    <w:p w:rsidR="0068681F" w:rsidRDefault="00C670E3" w:rsidP="0068681F">
      <w:r>
        <w:br w:type="page"/>
      </w:r>
    </w:p>
    <w:tbl>
      <w:tblPr>
        <w:tblpPr w:leftFromText="187" w:rightFromText="187" w:vertAnchor="page" w:horzAnchor="margin" w:tblpXSpec="right" w:tblpY="1124"/>
        <w:tblOverlap w:val="never"/>
        <w:tblW w:w="4796" w:type="dxa"/>
        <w:tblLook w:val="04A0" w:firstRow="1" w:lastRow="0" w:firstColumn="1" w:lastColumn="0" w:noHBand="0" w:noVBand="1"/>
      </w:tblPr>
      <w:tblGrid>
        <w:gridCol w:w="297"/>
        <w:gridCol w:w="297"/>
        <w:gridCol w:w="1394"/>
        <w:gridCol w:w="297"/>
        <w:gridCol w:w="1251"/>
        <w:gridCol w:w="963"/>
        <w:gridCol w:w="297"/>
      </w:tblGrid>
      <w:tr w:rsidR="00C670E3" w:rsidRPr="00C16895" w:rsidTr="0068681F">
        <w:trPr>
          <w:trHeight w:val="223"/>
        </w:trPr>
        <w:tc>
          <w:tcPr>
            <w:tcW w:w="297" w:type="dxa"/>
            <w:tcBorders>
              <w:top w:val="single" w:sz="4" w:space="0" w:color="auto"/>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lastRenderedPageBreak/>
              <w:t> </w:t>
            </w:r>
          </w:p>
        </w:tc>
        <w:tc>
          <w:tcPr>
            <w:tcW w:w="297" w:type="dxa"/>
            <w:tcBorders>
              <w:top w:val="single" w:sz="4" w:space="0" w:color="auto"/>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394" w:type="dxa"/>
            <w:tcBorders>
              <w:top w:val="single" w:sz="4" w:space="0" w:color="auto"/>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7" w:type="dxa"/>
            <w:tcBorders>
              <w:top w:val="single" w:sz="4" w:space="0" w:color="auto"/>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51" w:type="dxa"/>
            <w:tcBorders>
              <w:top w:val="single" w:sz="4" w:space="0" w:color="auto"/>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63" w:type="dxa"/>
            <w:tcBorders>
              <w:top w:val="single" w:sz="4" w:space="0" w:color="auto"/>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7" w:type="dxa"/>
            <w:tcBorders>
              <w:top w:val="single" w:sz="4" w:space="0" w:color="auto"/>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7" w:type="dxa"/>
            <w:tcBorders>
              <w:top w:val="nil"/>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394" w:type="dxa"/>
            <w:tcBorders>
              <w:top w:val="nil"/>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7" w:type="dxa"/>
            <w:tcBorders>
              <w:top w:val="nil"/>
              <w:left w:val="nil"/>
              <w:bottom w:val="nil"/>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51" w:type="dxa"/>
            <w:tcBorders>
              <w:top w:val="nil"/>
              <w:left w:val="nil"/>
              <w:bottom w:val="nil"/>
              <w:right w:val="nil"/>
            </w:tcBorders>
            <w:shd w:val="clear" w:color="000000" w:fill="D9D9D9"/>
            <w:vAlign w:val="bottom"/>
            <w:hideMark/>
          </w:tcPr>
          <w:p w:rsidR="00C670E3" w:rsidRPr="00C16895" w:rsidRDefault="00C670E3"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63" w:type="dxa"/>
            <w:tcBorders>
              <w:top w:val="nil"/>
              <w:left w:val="nil"/>
              <w:bottom w:val="nil"/>
              <w:right w:val="nil"/>
            </w:tcBorders>
            <w:shd w:val="clear" w:color="000000" w:fill="D9D9D9"/>
            <w:vAlign w:val="bottom"/>
            <w:hideMark/>
          </w:tcPr>
          <w:p w:rsidR="00C670E3" w:rsidRPr="00C16895" w:rsidRDefault="00C670E3"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670E3" w:rsidRPr="00C16895" w:rsidTr="0068681F">
        <w:trPr>
          <w:trHeight w:val="422"/>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691" w:type="dxa"/>
            <w:gridSpan w:val="2"/>
            <w:tcBorders>
              <w:top w:val="nil"/>
              <w:left w:val="nil"/>
              <w:bottom w:val="single" w:sz="4" w:space="0" w:color="auto"/>
              <w:right w:val="nil"/>
            </w:tcBorders>
            <w:shd w:val="clear" w:color="000000" w:fill="D9D9D9"/>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Background Characteristic</w:t>
            </w:r>
          </w:p>
        </w:tc>
        <w:tc>
          <w:tcPr>
            <w:tcW w:w="297" w:type="dxa"/>
            <w:tcBorders>
              <w:top w:val="nil"/>
              <w:left w:val="nil"/>
              <w:bottom w:val="single" w:sz="4" w:space="0" w:color="auto"/>
              <w:right w:val="nil"/>
            </w:tcBorders>
            <w:shd w:val="clear" w:color="000000" w:fill="D9D9D9"/>
            <w:vAlign w:val="bottom"/>
            <w:hideMark/>
          </w:tcPr>
          <w:p w:rsidR="00C670E3" w:rsidRPr="00C16895" w:rsidRDefault="00C670E3"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51" w:type="dxa"/>
            <w:tcBorders>
              <w:top w:val="nil"/>
              <w:left w:val="nil"/>
              <w:bottom w:val="single" w:sz="4" w:space="0" w:color="auto"/>
              <w:right w:val="nil"/>
            </w:tcBorders>
            <w:shd w:val="clear" w:color="000000" w:fill="D9D9D9"/>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Received Nutrition Counseling</w:t>
            </w:r>
          </w:p>
        </w:tc>
        <w:tc>
          <w:tcPr>
            <w:tcW w:w="963" w:type="dxa"/>
            <w:tcBorders>
              <w:top w:val="nil"/>
              <w:left w:val="nil"/>
              <w:bottom w:val="single" w:sz="4" w:space="0" w:color="auto"/>
              <w:right w:val="nil"/>
            </w:tcBorders>
            <w:shd w:val="clear" w:color="000000" w:fill="D9D9D9"/>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Number of women</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670E3" w:rsidRPr="00C16895" w:rsidTr="0068681F">
        <w:trPr>
          <w:trHeight w:val="57"/>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i/>
                <w:iCs/>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i/>
                <w:iCs/>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Mother's age at birth</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&lt;20</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78.9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512</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20-34</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82.1</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4,483</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35-49</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79.6</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809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57"/>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Residence</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Urban</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90.9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1,019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Rural</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79.5</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4,785</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57"/>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Province</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Banteay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89.2</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214</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Cham</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68.9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701</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Chhnang</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97.1</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259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Speu</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91.9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358</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Thom</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81.1</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286</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Kandal</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66.9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559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Kratie</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91.7</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115</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Phnom Penh</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95.0</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534</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Prey </w:t>
            </w:r>
            <w:proofErr w:type="spellStart"/>
            <w:r w:rsidRPr="00C16895">
              <w:rPr>
                <w:rFonts w:ascii="Arial Narrow" w:eastAsia="Times New Roman" w:hAnsi="Arial Narrow" w:cs="Calibri"/>
                <w:color w:val="000000"/>
                <w:sz w:val="16"/>
                <w:szCs w:val="16"/>
              </w:rPr>
              <w:t>Veng</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89.0</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473</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Pursat</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97.5</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191</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Siem</w:t>
            </w:r>
            <w:proofErr w:type="spellEnd"/>
            <w:r w:rsidRPr="00C16895">
              <w:rPr>
                <w:rFonts w:ascii="Arial Narrow" w:eastAsia="Times New Roman" w:hAnsi="Arial Narrow" w:cs="Calibri"/>
                <w:color w:val="000000"/>
                <w:sz w:val="16"/>
                <w:szCs w:val="16"/>
              </w:rPr>
              <w:t xml:space="preserve"> Reap</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95.8</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415</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Svay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Rieng</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56.5</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217</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Takeo</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59.5</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407</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Otdar</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86.6</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Battambang</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Pailin</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86.5</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421</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Kampot</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Kep</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81.8</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256</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400"/>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Sihanouk / </w:t>
            </w:r>
            <w:proofErr w:type="spellStart"/>
            <w:r w:rsidRPr="00C16895">
              <w:rPr>
                <w:rFonts w:ascii="Arial Narrow" w:eastAsia="Times New Roman" w:hAnsi="Arial Narrow" w:cs="Calibri"/>
                <w:color w:val="000000"/>
                <w:sz w:val="16"/>
                <w:szCs w:val="16"/>
              </w:rPr>
              <w:t>Koh</w:t>
            </w:r>
            <w:proofErr w:type="spellEnd"/>
            <w:r w:rsidRPr="00C16895">
              <w:rPr>
                <w:rFonts w:ascii="Arial Narrow" w:eastAsia="Times New Roman" w:hAnsi="Arial Narrow" w:cs="Calibri"/>
                <w:color w:val="000000"/>
                <w:sz w:val="16"/>
                <w:szCs w:val="16"/>
              </w:rPr>
              <w:t xml:space="preserve"> Kong</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80.3</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128</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400"/>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Vihear</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Steung</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Treng</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79.3</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114</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400"/>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Mondol</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Ratanak</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68.6</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77</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57"/>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Mother's education</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None</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76.1</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879</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Primary</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79.2</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3,263</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Secondary +</w:t>
            </w: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88.8</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1,662</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57"/>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Wealth quintile</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Lowest</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76.8</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1,267</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1,190</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Middle</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80.1</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1,138</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Fourth</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81.9</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1,104</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Highest</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89.7</w:t>
            </w: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1,106</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111"/>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1394"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297"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p>
        </w:tc>
        <w:tc>
          <w:tcPr>
            <w:tcW w:w="1251"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963" w:type="dxa"/>
            <w:tcBorders>
              <w:top w:val="nil"/>
              <w:left w:val="nil"/>
              <w:bottom w:val="nil"/>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91" w:type="dxa"/>
            <w:gridSpan w:val="2"/>
            <w:tcBorders>
              <w:top w:val="nil"/>
              <w:left w:val="nil"/>
              <w:bottom w:val="single" w:sz="4" w:space="0" w:color="auto"/>
              <w:right w:val="nil"/>
            </w:tcBorders>
            <w:shd w:val="clear" w:color="auto" w:fill="auto"/>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Total</w:t>
            </w:r>
          </w:p>
        </w:tc>
        <w:tc>
          <w:tcPr>
            <w:tcW w:w="297" w:type="dxa"/>
            <w:tcBorders>
              <w:top w:val="nil"/>
              <w:left w:val="nil"/>
              <w:bottom w:val="single" w:sz="4" w:space="0" w:color="auto"/>
              <w:right w:val="nil"/>
            </w:tcBorders>
            <w:shd w:val="clear" w:color="auto" w:fill="auto"/>
            <w:noWrap/>
            <w:vAlign w:val="bottom"/>
            <w:hideMark/>
          </w:tcPr>
          <w:p w:rsidR="00C670E3" w:rsidRPr="00C16895" w:rsidRDefault="00C670E3" w:rsidP="003456A8">
            <w:pPr>
              <w:spacing w:after="0" w:line="240" w:lineRule="auto"/>
              <w:jc w:val="right"/>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251" w:type="dxa"/>
            <w:tcBorders>
              <w:top w:val="nil"/>
              <w:left w:val="nil"/>
              <w:bottom w:val="single" w:sz="4" w:space="0" w:color="auto"/>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81.5</w:t>
            </w:r>
          </w:p>
        </w:tc>
        <w:tc>
          <w:tcPr>
            <w:tcW w:w="963" w:type="dxa"/>
            <w:tcBorders>
              <w:top w:val="nil"/>
              <w:left w:val="nil"/>
              <w:bottom w:val="single" w:sz="4" w:space="0" w:color="auto"/>
              <w:right w:val="nil"/>
            </w:tcBorders>
            <w:shd w:val="clear" w:color="auto" w:fill="auto"/>
            <w:noWrap/>
            <w:vAlign w:val="bottom"/>
            <w:hideMark/>
          </w:tcPr>
          <w:p w:rsidR="00C670E3" w:rsidRPr="00C16895" w:rsidRDefault="00C670E3"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5,804</w:t>
            </w:r>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944"/>
        </w:trPr>
        <w:tc>
          <w:tcPr>
            <w:tcW w:w="297" w:type="dxa"/>
            <w:tcBorders>
              <w:top w:val="nil"/>
              <w:left w:val="single" w:sz="4" w:space="0" w:color="auto"/>
              <w:bottom w:val="nil"/>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4202" w:type="dxa"/>
            <w:gridSpan w:val="5"/>
            <w:tcBorders>
              <w:top w:val="nil"/>
              <w:left w:val="nil"/>
              <w:bottom w:val="nil"/>
              <w:right w:val="nil"/>
            </w:tcBorders>
            <w:shd w:val="clear" w:color="000000" w:fill="D9D9D9"/>
            <w:vAlign w:val="bottom"/>
            <w:hideMark/>
          </w:tcPr>
          <w:p w:rsidR="00C670E3" w:rsidRPr="0068681F" w:rsidRDefault="0068681F" w:rsidP="0068681F">
            <w:pPr>
              <w:pStyle w:val="Caption"/>
              <w:keepNext/>
            </w:pPr>
            <w:bookmarkStart w:id="1" w:name="_Toc346097130"/>
            <w:r>
              <w:t xml:space="preserve">Table </w:t>
            </w:r>
            <w:r w:rsidR="00E56D30">
              <w:fldChar w:fldCharType="begin"/>
            </w:r>
            <w:r w:rsidR="00E56D30">
              <w:instrText xml:space="preserve"> SEQ Table \* ARABIC </w:instrText>
            </w:r>
            <w:r w:rsidR="00E56D30">
              <w:fldChar w:fldCharType="separate"/>
            </w:r>
            <w:r w:rsidR="00E56D30">
              <w:rPr>
                <w:noProof/>
              </w:rPr>
              <w:t>1</w:t>
            </w:r>
            <w:r w:rsidR="00E56D30">
              <w:rPr>
                <w:noProof/>
              </w:rPr>
              <w:fldChar w:fldCharType="end"/>
            </w:r>
            <w:r>
              <w:t xml:space="preserve">. </w:t>
            </w:r>
            <w:r w:rsidRPr="00233F19">
              <w:t>Among women aged 15-49 receiving antenatal care (ANC) for their most recent birth in the five years preceding the survey, the percentage who received nutrition counseling as part of their ANC, according to background characteristics. Cambodia DHS 2010.</w:t>
            </w:r>
            <w:bookmarkEnd w:id="1"/>
          </w:p>
        </w:tc>
        <w:tc>
          <w:tcPr>
            <w:tcW w:w="297" w:type="dxa"/>
            <w:tcBorders>
              <w:top w:val="nil"/>
              <w:left w:val="nil"/>
              <w:bottom w:val="nil"/>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670E3" w:rsidRPr="00C16895" w:rsidTr="0068681F">
        <w:trPr>
          <w:trHeight w:val="223"/>
        </w:trPr>
        <w:tc>
          <w:tcPr>
            <w:tcW w:w="297" w:type="dxa"/>
            <w:tcBorders>
              <w:top w:val="nil"/>
              <w:left w:val="single" w:sz="4" w:space="0" w:color="auto"/>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394" w:type="dxa"/>
            <w:tcBorders>
              <w:top w:val="nil"/>
              <w:left w:val="nil"/>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p>
        </w:tc>
        <w:tc>
          <w:tcPr>
            <w:tcW w:w="297" w:type="dxa"/>
            <w:tcBorders>
              <w:top w:val="nil"/>
              <w:left w:val="nil"/>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251" w:type="dxa"/>
            <w:tcBorders>
              <w:top w:val="nil"/>
              <w:left w:val="nil"/>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963" w:type="dxa"/>
            <w:tcBorders>
              <w:top w:val="nil"/>
              <w:left w:val="nil"/>
              <w:bottom w:val="single" w:sz="4" w:space="0" w:color="auto"/>
              <w:right w:val="nil"/>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670E3" w:rsidRPr="00C16895" w:rsidRDefault="00C670E3"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bl>
    <w:p w:rsidR="003456A8" w:rsidRDefault="000F5D1E" w:rsidP="003456A8">
      <w:pPr>
        <w:pStyle w:val="Heading1"/>
      </w:pPr>
      <w:bookmarkStart w:id="2" w:name="_Toc346097179"/>
      <w:r>
        <w:t xml:space="preserve">Unreported </w:t>
      </w:r>
      <w:r w:rsidR="00F15F5A">
        <w:t>Nutrition</w:t>
      </w:r>
      <w:r w:rsidR="00C670E3">
        <w:t xml:space="preserve"> Indicators</w:t>
      </w:r>
      <w:bookmarkEnd w:id="2"/>
      <w:r w:rsidR="00F15F5A">
        <w:t xml:space="preserve"> </w:t>
      </w:r>
    </w:p>
    <w:p w:rsidR="000F5D1E" w:rsidRDefault="000F5D1E" w:rsidP="000F5D1E"/>
    <w:p w:rsidR="000F5D1E" w:rsidRDefault="000F5D1E" w:rsidP="000F5D1E">
      <w:r>
        <w:t xml:space="preserve">This section includes three indicators that were part of the questionnaire, but not included in the CDHS 2010 report. </w:t>
      </w:r>
    </w:p>
    <w:p w:rsidR="000F5D1E" w:rsidRPr="000F5D1E" w:rsidRDefault="000F5D1E" w:rsidP="000F5D1E"/>
    <w:p w:rsidR="00C670E3" w:rsidRDefault="003456A8" w:rsidP="003456A8">
      <w:pPr>
        <w:pStyle w:val="Heading2"/>
      </w:pPr>
      <w:bookmarkStart w:id="3" w:name="_Toc346097180"/>
      <w:r>
        <w:t>Nutrition Counseling during Antenatal Care</w:t>
      </w:r>
      <w:bookmarkEnd w:id="3"/>
    </w:p>
    <w:p w:rsidR="003456A8" w:rsidRPr="003C6D60" w:rsidRDefault="003456A8" w:rsidP="003C6D60"/>
    <w:p w:rsidR="00F353BF" w:rsidRDefault="0029751F">
      <w:r>
        <w:t>Indicators on the quality of antenatal care were part of the CDHS 2010, including blood pressure, urine sample, blood sample, weight, and nutrition counseling. However, nutrition counseling was not included in the CDHS 2010 report</w:t>
      </w:r>
      <w:sdt>
        <w:sdtPr>
          <w:id w:val="-1501651632"/>
          <w:citation/>
        </w:sdtPr>
        <w:sdtContent>
          <w:r w:rsidR="006328F0">
            <w:fldChar w:fldCharType="begin"/>
          </w:r>
          <w:r w:rsidR="006328F0">
            <w:instrText xml:space="preserve"> CITATION Nat10 \l 1033 </w:instrText>
          </w:r>
          <w:r w:rsidR="006328F0">
            <w:fldChar w:fldCharType="separate"/>
          </w:r>
          <w:r w:rsidR="008C6692">
            <w:rPr>
              <w:noProof/>
            </w:rPr>
            <w:t xml:space="preserve"> (National Institute of Statistics)</w:t>
          </w:r>
          <w:r w:rsidR="006328F0">
            <w:fldChar w:fldCharType="end"/>
          </w:r>
        </w:sdtContent>
      </w:sdt>
      <w:r>
        <w:t>.</w:t>
      </w:r>
    </w:p>
    <w:p w:rsidR="00536727" w:rsidRDefault="00F353BF">
      <w:r>
        <w:t>Four out of five women attending antenatal care report that they received nutrition counseling. With 92% of women now attending antenatal care, this means that</w:t>
      </w:r>
      <w:r w:rsidR="00536727">
        <w:t xml:space="preserve"> out of all pregnant women</w:t>
      </w:r>
      <w:r>
        <w:t xml:space="preserve"> 3 of 4</w:t>
      </w:r>
      <w:r w:rsidR="00536727">
        <w:t xml:space="preserve"> receive nutrition counseling.</w:t>
      </w:r>
    </w:p>
    <w:p w:rsidR="001B1AB0" w:rsidRDefault="00536727">
      <w:r>
        <w:t>As with other indicators of quality, there are differences by education and wealth. Wealthier and more educated women are more likely to report having received nutrition counseling.</w:t>
      </w:r>
    </w:p>
    <w:p w:rsidR="003C6D60" w:rsidRDefault="001B1AB0">
      <w:r>
        <w:t xml:space="preserve">In complement to nutrition counseling, CDHS 2010 reports that more than 90% of women attending antenatal care are weighed. CDHS 2010 also reports that of women that receive antenatal care, 92% go to the public sector. Public sector facilities are weighing and providing nutrition counseling to </w:t>
      </w:r>
      <w:r w:rsidR="00B00354">
        <w:t xml:space="preserve">the large majority of </w:t>
      </w:r>
      <w:r>
        <w:t>pregnant women</w:t>
      </w:r>
      <w:r w:rsidR="00B00354">
        <w:t xml:space="preserve"> in Cambodia</w:t>
      </w:r>
      <w:r>
        <w:t>.</w:t>
      </w:r>
      <w:r w:rsidR="00D17EB7">
        <w:t xml:space="preserve"> There is no evidence on the quality or impact of this counseling.</w:t>
      </w:r>
      <w:r w:rsidR="00F353BF">
        <w:t xml:space="preserve"> </w:t>
      </w:r>
      <w:r w:rsidR="0029751F">
        <w:t xml:space="preserve">  </w:t>
      </w:r>
      <w:r w:rsidR="003C6D60">
        <w:br w:type="page"/>
      </w:r>
    </w:p>
    <w:p w:rsidR="003C6D60" w:rsidRDefault="003C6D60"/>
    <w:tbl>
      <w:tblPr>
        <w:tblpPr w:leftFromText="187" w:rightFromText="187" w:vertAnchor="page" w:tblpY="1945"/>
        <w:tblOverlap w:val="never"/>
        <w:tblW w:w="4842" w:type="dxa"/>
        <w:tblInd w:w="93" w:type="dxa"/>
        <w:tblLook w:val="04A0" w:firstRow="1" w:lastRow="0" w:firstColumn="1" w:lastColumn="0" w:noHBand="0" w:noVBand="1"/>
      </w:tblPr>
      <w:tblGrid>
        <w:gridCol w:w="300"/>
        <w:gridCol w:w="300"/>
        <w:gridCol w:w="1407"/>
        <w:gridCol w:w="300"/>
        <w:gridCol w:w="1263"/>
        <w:gridCol w:w="972"/>
        <w:gridCol w:w="300"/>
      </w:tblGrid>
      <w:tr w:rsidR="00C16895" w:rsidRPr="00C16895" w:rsidTr="0068681F">
        <w:trPr>
          <w:trHeight w:val="197"/>
        </w:trPr>
        <w:tc>
          <w:tcPr>
            <w:tcW w:w="300" w:type="dxa"/>
            <w:tcBorders>
              <w:top w:val="single" w:sz="4" w:space="0" w:color="auto"/>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single" w:sz="4" w:space="0" w:color="auto"/>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407" w:type="dxa"/>
            <w:tcBorders>
              <w:top w:val="single" w:sz="4" w:space="0" w:color="auto"/>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single" w:sz="4" w:space="0" w:color="auto"/>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63" w:type="dxa"/>
            <w:tcBorders>
              <w:top w:val="single" w:sz="4" w:space="0" w:color="auto"/>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single" w:sz="4" w:space="0" w:color="auto"/>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single" w:sz="4" w:space="0" w:color="auto"/>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nil"/>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407" w:type="dxa"/>
            <w:tcBorders>
              <w:top w:val="nil"/>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nil"/>
              <w:left w:val="nil"/>
              <w:bottom w:val="nil"/>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63" w:type="dxa"/>
            <w:tcBorders>
              <w:top w:val="nil"/>
              <w:left w:val="nil"/>
              <w:bottom w:val="nil"/>
              <w:right w:val="nil"/>
            </w:tcBorders>
            <w:shd w:val="clear" w:color="000000" w:fill="D9D9D9"/>
            <w:vAlign w:val="bottom"/>
            <w:hideMark/>
          </w:tcPr>
          <w:p w:rsidR="00C16895" w:rsidRPr="00C16895" w:rsidRDefault="00C16895"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nil"/>
              <w:left w:val="nil"/>
              <w:bottom w:val="nil"/>
              <w:right w:val="nil"/>
            </w:tcBorders>
            <w:shd w:val="clear" w:color="000000" w:fill="D9D9D9"/>
            <w:vAlign w:val="bottom"/>
            <w:hideMark/>
          </w:tcPr>
          <w:p w:rsidR="00C16895" w:rsidRPr="00C16895" w:rsidRDefault="00C16895"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16895" w:rsidRPr="00C16895" w:rsidTr="0068681F">
        <w:trPr>
          <w:trHeight w:val="375"/>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707" w:type="dxa"/>
            <w:gridSpan w:val="2"/>
            <w:tcBorders>
              <w:top w:val="nil"/>
              <w:left w:val="nil"/>
              <w:bottom w:val="single" w:sz="4" w:space="0" w:color="auto"/>
              <w:right w:val="nil"/>
            </w:tcBorders>
            <w:shd w:val="clear" w:color="000000" w:fill="D9D9D9"/>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Background Characteristic</w:t>
            </w:r>
          </w:p>
        </w:tc>
        <w:tc>
          <w:tcPr>
            <w:tcW w:w="300" w:type="dxa"/>
            <w:tcBorders>
              <w:top w:val="nil"/>
              <w:left w:val="nil"/>
              <w:bottom w:val="single" w:sz="4" w:space="0" w:color="auto"/>
              <w:right w:val="nil"/>
            </w:tcBorders>
            <w:shd w:val="clear" w:color="000000" w:fill="D9D9D9"/>
            <w:vAlign w:val="bottom"/>
            <w:hideMark/>
          </w:tcPr>
          <w:p w:rsidR="00C16895" w:rsidRPr="00C16895" w:rsidRDefault="00C16895" w:rsidP="003456A8">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263" w:type="dxa"/>
            <w:tcBorders>
              <w:top w:val="nil"/>
              <w:left w:val="nil"/>
              <w:bottom w:val="single" w:sz="4" w:space="0" w:color="auto"/>
              <w:right w:val="nil"/>
            </w:tcBorders>
            <w:shd w:val="clear" w:color="000000" w:fill="D9D9D9"/>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Takes iron weekly</w:t>
            </w:r>
          </w:p>
        </w:tc>
        <w:tc>
          <w:tcPr>
            <w:tcW w:w="972" w:type="dxa"/>
            <w:tcBorders>
              <w:top w:val="nil"/>
              <w:left w:val="nil"/>
              <w:bottom w:val="single" w:sz="4" w:space="0" w:color="auto"/>
              <w:right w:val="nil"/>
            </w:tcBorders>
            <w:shd w:val="clear" w:color="000000" w:fill="D9D9D9"/>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Number of women</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C16895" w:rsidRPr="00C16895" w:rsidTr="0068681F">
        <w:trPr>
          <w:trHeight w:val="49"/>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Arial Narrow" w:eastAsia="Times New Roman" w:hAnsi="Arial Narrow" w:cs="Calibri"/>
                <w:i/>
                <w:iCs/>
                <w:color w:val="000000"/>
                <w:sz w:val="16"/>
                <w:szCs w:val="16"/>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Arial Narrow" w:eastAsia="Times New Roman" w:hAnsi="Arial Narrow" w:cs="Calibri"/>
                <w:i/>
                <w:iCs/>
                <w:color w:val="000000"/>
                <w:sz w:val="16"/>
                <w:szCs w:val="16"/>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Age</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15-19</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3,613</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20-29</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5.9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5,809</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30-39</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4.4</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4,039</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40-49</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4,360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49"/>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Residence</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Urban</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3,787</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Rural</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4.8</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14,035</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49"/>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Province</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Banteay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5.1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685</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Cham</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2.4</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1,968</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Chhnang</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693</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Speu</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1,022</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Thom</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2.2</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894</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Kandal</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0.9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1,855</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Kratie</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0.3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407</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Phnom Penh</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1.0</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2,109</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Prey </w:t>
            </w:r>
            <w:proofErr w:type="spellStart"/>
            <w:r w:rsidRPr="00C16895">
              <w:rPr>
                <w:rFonts w:ascii="Arial Narrow" w:eastAsia="Times New Roman" w:hAnsi="Arial Narrow" w:cs="Calibri"/>
                <w:color w:val="000000"/>
                <w:sz w:val="16"/>
                <w:szCs w:val="16"/>
              </w:rPr>
              <w:t>Veng</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1,269</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Pursat</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25.9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503</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Siem</w:t>
            </w:r>
            <w:proofErr w:type="spellEnd"/>
            <w:r w:rsidRPr="00C16895">
              <w:rPr>
                <w:rFonts w:ascii="Arial Narrow" w:eastAsia="Times New Roman" w:hAnsi="Arial Narrow" w:cs="Calibri"/>
                <w:color w:val="000000"/>
                <w:sz w:val="16"/>
                <w:szCs w:val="16"/>
              </w:rPr>
              <w:t xml:space="preserve"> Reap</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2.7</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1,163</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Svay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Rieng</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22.3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722</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Takeo</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2.0</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1,114</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Otdar</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0.7</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240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Battambang</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Pailin</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1.8</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1,247</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Kampot</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Kep</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16.1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850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355"/>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Sihanouk / </w:t>
            </w:r>
            <w:proofErr w:type="spellStart"/>
            <w:r w:rsidRPr="00C16895">
              <w:rPr>
                <w:rFonts w:ascii="Arial Narrow" w:eastAsia="Times New Roman" w:hAnsi="Arial Narrow" w:cs="Calibri"/>
                <w:color w:val="000000"/>
                <w:sz w:val="16"/>
                <w:szCs w:val="16"/>
              </w:rPr>
              <w:t>Koh</w:t>
            </w:r>
            <w:proofErr w:type="spellEnd"/>
            <w:r w:rsidRPr="00C16895">
              <w:rPr>
                <w:rFonts w:ascii="Arial Narrow" w:eastAsia="Times New Roman" w:hAnsi="Arial Narrow" w:cs="Calibri"/>
                <w:color w:val="000000"/>
                <w:sz w:val="16"/>
                <w:szCs w:val="16"/>
              </w:rPr>
              <w:t xml:space="preserve"> Kong</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1.3</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417</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355"/>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Vihear</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Steung</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Treng</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401</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355"/>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Mondol</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Ratanak</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0.6</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264</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49"/>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Education</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None</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3.6</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2,820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Primary</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4.2</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8,772</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Secondary +</w:t>
            </w: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6,230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49"/>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Wealth quintile</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Lowest</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5.1</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3,220</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3,302</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Middle</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4.7</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3,447</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Fourth</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3.9</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3,581</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Highest</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2.0</w:t>
            </w: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4,271</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98"/>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1407"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p>
        </w:tc>
        <w:tc>
          <w:tcPr>
            <w:tcW w:w="300"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p>
        </w:tc>
        <w:tc>
          <w:tcPr>
            <w:tcW w:w="1263"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972" w:type="dxa"/>
            <w:tcBorders>
              <w:top w:val="nil"/>
              <w:left w:val="nil"/>
              <w:bottom w:val="nil"/>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197"/>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707" w:type="dxa"/>
            <w:gridSpan w:val="2"/>
            <w:tcBorders>
              <w:top w:val="nil"/>
              <w:left w:val="nil"/>
              <w:bottom w:val="single" w:sz="4" w:space="0" w:color="auto"/>
              <w:right w:val="nil"/>
            </w:tcBorders>
            <w:shd w:val="clear" w:color="auto" w:fill="auto"/>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Total</w:t>
            </w:r>
          </w:p>
        </w:tc>
        <w:tc>
          <w:tcPr>
            <w:tcW w:w="300" w:type="dxa"/>
            <w:tcBorders>
              <w:top w:val="nil"/>
              <w:left w:val="nil"/>
              <w:bottom w:val="single" w:sz="4" w:space="0" w:color="auto"/>
              <w:right w:val="nil"/>
            </w:tcBorders>
            <w:shd w:val="clear" w:color="auto" w:fill="auto"/>
            <w:noWrap/>
            <w:vAlign w:val="bottom"/>
            <w:hideMark/>
          </w:tcPr>
          <w:p w:rsidR="00C16895" w:rsidRPr="00C16895" w:rsidRDefault="00C16895" w:rsidP="003456A8">
            <w:pPr>
              <w:spacing w:after="0" w:line="240" w:lineRule="auto"/>
              <w:jc w:val="right"/>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263" w:type="dxa"/>
            <w:tcBorders>
              <w:top w:val="nil"/>
              <w:left w:val="nil"/>
              <w:bottom w:val="single" w:sz="4" w:space="0" w:color="auto"/>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4.0</w:t>
            </w:r>
          </w:p>
        </w:tc>
        <w:tc>
          <w:tcPr>
            <w:tcW w:w="972" w:type="dxa"/>
            <w:tcBorders>
              <w:top w:val="nil"/>
              <w:left w:val="nil"/>
              <w:bottom w:val="single" w:sz="4" w:space="0" w:color="auto"/>
              <w:right w:val="nil"/>
            </w:tcBorders>
            <w:shd w:val="clear" w:color="auto" w:fill="auto"/>
            <w:noWrap/>
            <w:vAlign w:val="bottom"/>
            <w:hideMark/>
          </w:tcPr>
          <w:p w:rsidR="00C16895" w:rsidRPr="00C16895" w:rsidRDefault="00C16895" w:rsidP="003456A8">
            <w:pPr>
              <w:spacing w:after="0" w:line="240" w:lineRule="auto"/>
              <w:jc w:val="center"/>
              <w:rPr>
                <w:rFonts w:ascii="Calibri" w:eastAsia="Times New Roman" w:hAnsi="Calibri" w:cs="Calibri"/>
                <w:color w:val="000000"/>
                <w:sz w:val="18"/>
                <w:szCs w:val="18"/>
              </w:rPr>
            </w:pPr>
            <w:r w:rsidRPr="00C16895">
              <w:rPr>
                <w:rFonts w:ascii="Calibri" w:eastAsia="Times New Roman" w:hAnsi="Calibri" w:cs="Calibri"/>
                <w:color w:val="000000"/>
                <w:sz w:val="18"/>
                <w:szCs w:val="18"/>
              </w:rPr>
              <w:t>17,821</w:t>
            </w:r>
          </w:p>
        </w:tc>
        <w:tc>
          <w:tcPr>
            <w:tcW w:w="300" w:type="dxa"/>
            <w:tcBorders>
              <w:top w:val="nil"/>
              <w:left w:val="nil"/>
              <w:bottom w:val="nil"/>
              <w:right w:val="nil"/>
            </w:tcBorders>
            <w:shd w:val="clear" w:color="000000" w:fill="D9D9D9"/>
            <w:noWrap/>
            <w:vAlign w:val="bottom"/>
            <w:hideMark/>
          </w:tcPr>
          <w:p w:rsidR="00C16895" w:rsidRPr="00C16895" w:rsidRDefault="00C16895" w:rsidP="003456A8">
            <w:pPr>
              <w:spacing w:after="0" w:line="240" w:lineRule="auto"/>
              <w:jc w:val="center"/>
              <w:rPr>
                <w:rFonts w:ascii="Arial Narrow" w:eastAsia="Times New Roman" w:hAnsi="Arial Narrow" w:cs="Calibri"/>
                <w:color w:val="000000"/>
                <w:sz w:val="18"/>
                <w:szCs w:val="18"/>
              </w:rPr>
            </w:pPr>
            <w:r w:rsidRPr="00C16895">
              <w:rPr>
                <w:rFonts w:ascii="Arial Narrow" w:eastAsia="Times New Roman" w:hAnsi="Arial Narrow" w:cs="Calibri"/>
                <w:color w:val="000000"/>
                <w:sz w:val="18"/>
                <w:szCs w:val="18"/>
              </w:rPr>
              <w:t> </w:t>
            </w:r>
          </w:p>
        </w:tc>
      </w:tr>
      <w:tr w:rsidR="00C16895" w:rsidRPr="00C16895" w:rsidTr="0068681F">
        <w:trPr>
          <w:trHeight w:val="552"/>
        </w:trPr>
        <w:tc>
          <w:tcPr>
            <w:tcW w:w="300" w:type="dxa"/>
            <w:tcBorders>
              <w:top w:val="nil"/>
              <w:left w:val="single" w:sz="4" w:space="0" w:color="auto"/>
              <w:bottom w:val="nil"/>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4241" w:type="dxa"/>
            <w:gridSpan w:val="5"/>
            <w:tcBorders>
              <w:top w:val="nil"/>
              <w:left w:val="nil"/>
              <w:bottom w:val="nil"/>
              <w:right w:val="nil"/>
            </w:tcBorders>
            <w:shd w:val="clear" w:color="000000" w:fill="D9D9D9"/>
            <w:vAlign w:val="bottom"/>
            <w:hideMark/>
          </w:tcPr>
          <w:p w:rsidR="0068681F" w:rsidRDefault="0068681F" w:rsidP="0068681F">
            <w:pPr>
              <w:pStyle w:val="Caption"/>
              <w:keepNext/>
            </w:pPr>
            <w:bookmarkStart w:id="4" w:name="_Toc346097131"/>
            <w:r>
              <w:t xml:space="preserve">Table </w:t>
            </w:r>
            <w:r w:rsidR="00E56D30">
              <w:fldChar w:fldCharType="begin"/>
            </w:r>
            <w:r w:rsidR="00E56D30">
              <w:instrText xml:space="preserve"> SEQ Table \* ARABIC </w:instrText>
            </w:r>
            <w:r w:rsidR="00E56D30">
              <w:fldChar w:fldCharType="separate"/>
            </w:r>
            <w:r w:rsidR="00E56D30">
              <w:rPr>
                <w:noProof/>
              </w:rPr>
              <w:t>2</w:t>
            </w:r>
            <w:r w:rsidR="00E56D30">
              <w:rPr>
                <w:noProof/>
              </w:rPr>
              <w:fldChar w:fldCharType="end"/>
            </w:r>
            <w:r>
              <w:t xml:space="preserve">. </w:t>
            </w:r>
            <w:r w:rsidRPr="006B0146">
              <w:t>Among non-pregnant women aged 15-49, the percentage taking weekly iron tablets, according to background characteristics. Cambodia DHS 2010</w:t>
            </w:r>
            <w:bookmarkEnd w:id="4"/>
          </w:p>
          <w:p w:rsidR="00C16895" w:rsidRPr="00C16895" w:rsidRDefault="0068681F" w:rsidP="0068681F">
            <w:pPr>
              <w:spacing w:after="0" w:line="240" w:lineRule="auto"/>
              <w:rPr>
                <w:rFonts w:ascii="Arial Narrow" w:eastAsia="Times New Roman" w:hAnsi="Arial Narrow" w:cs="Calibri"/>
                <w:color w:val="000000"/>
                <w:sz w:val="16"/>
                <w:szCs w:val="16"/>
              </w:rPr>
            </w:pPr>
            <w:r>
              <w:rPr>
                <w:rFonts w:ascii="Arial Narrow" w:eastAsia="Times New Roman" w:hAnsi="Arial Narrow" w:cs="Calibri"/>
                <w:b/>
                <w:bCs/>
                <w:i/>
                <w:iCs/>
                <w:color w:val="000000"/>
                <w:sz w:val="16"/>
                <w:szCs w:val="16"/>
              </w:rPr>
              <w:t xml:space="preserve"> </w:t>
            </w:r>
          </w:p>
        </w:tc>
        <w:tc>
          <w:tcPr>
            <w:tcW w:w="300" w:type="dxa"/>
            <w:tcBorders>
              <w:top w:val="nil"/>
              <w:left w:val="nil"/>
              <w:bottom w:val="nil"/>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C16895" w:rsidRPr="00C16895" w:rsidTr="0068681F">
        <w:trPr>
          <w:trHeight w:val="197"/>
        </w:trPr>
        <w:tc>
          <w:tcPr>
            <w:tcW w:w="300" w:type="dxa"/>
            <w:tcBorders>
              <w:top w:val="nil"/>
              <w:left w:val="single" w:sz="4" w:space="0" w:color="auto"/>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407" w:type="dxa"/>
            <w:tcBorders>
              <w:top w:val="nil"/>
              <w:left w:val="nil"/>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263" w:type="dxa"/>
            <w:tcBorders>
              <w:top w:val="nil"/>
              <w:left w:val="nil"/>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972" w:type="dxa"/>
            <w:tcBorders>
              <w:top w:val="nil"/>
              <w:left w:val="nil"/>
              <w:bottom w:val="single" w:sz="4" w:space="0" w:color="auto"/>
              <w:right w:val="nil"/>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00" w:type="dxa"/>
            <w:tcBorders>
              <w:top w:val="nil"/>
              <w:left w:val="nil"/>
              <w:bottom w:val="single" w:sz="4" w:space="0" w:color="auto"/>
              <w:right w:val="single" w:sz="4" w:space="0" w:color="auto"/>
            </w:tcBorders>
            <w:shd w:val="clear" w:color="000000" w:fill="D9D9D9"/>
            <w:noWrap/>
            <w:vAlign w:val="bottom"/>
            <w:hideMark/>
          </w:tcPr>
          <w:p w:rsidR="00C16895" w:rsidRPr="00C16895" w:rsidRDefault="00C16895" w:rsidP="003456A8">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bl>
    <w:p w:rsidR="001A2DB4" w:rsidRDefault="00F15F5A">
      <w:pPr>
        <w:rPr>
          <w:rStyle w:val="Heading2Char"/>
        </w:rPr>
      </w:pPr>
      <w:bookmarkStart w:id="5" w:name="_Toc346097181"/>
      <w:r w:rsidRPr="00F15F5A">
        <w:rPr>
          <w:rStyle w:val="Heading2Char"/>
        </w:rPr>
        <w:t>Weekly Iron Folic Acid Supplementation</w:t>
      </w:r>
      <w:bookmarkEnd w:id="5"/>
    </w:p>
    <w:p w:rsidR="001A2DB4" w:rsidRDefault="001A2DB4">
      <w:pPr>
        <w:rPr>
          <w:rStyle w:val="Heading2Char"/>
        </w:rPr>
      </w:pPr>
    </w:p>
    <w:p w:rsidR="001A2DB4" w:rsidRDefault="001A2DB4">
      <w:r>
        <w:t xml:space="preserve">Weekly iron folic acid (WIF) supplementation is </w:t>
      </w:r>
      <w:r w:rsidR="00925476">
        <w:t>provided through the public health sector to</w:t>
      </w:r>
      <w:r>
        <w:t xml:space="preserve"> non-pregnant women, aged 15 to 49 years. Currently, targeting </w:t>
      </w:r>
      <w:r w:rsidR="000F5D1E">
        <w:t>of low socio-economic status is included</w:t>
      </w:r>
      <w:r>
        <w:t xml:space="preserve"> in policy</w:t>
      </w:r>
      <w:sdt>
        <w:sdtPr>
          <w:id w:val="-1989311664"/>
          <w:citation/>
        </w:sdtPr>
        <w:sdtContent>
          <w:r w:rsidR="006328F0">
            <w:fldChar w:fldCharType="begin"/>
          </w:r>
          <w:r w:rsidR="006328F0">
            <w:instrText xml:space="preserve">CITATION Nat11 \l 1033 </w:instrText>
          </w:r>
          <w:r w:rsidR="006328F0">
            <w:fldChar w:fldCharType="separate"/>
          </w:r>
          <w:r w:rsidR="008C6692">
            <w:rPr>
              <w:noProof/>
            </w:rPr>
            <w:t xml:space="preserve"> (National Nutrition Programme)</w:t>
          </w:r>
          <w:r w:rsidR="006328F0">
            <w:fldChar w:fldCharType="end"/>
          </w:r>
        </w:sdtContent>
      </w:sdt>
      <w:r>
        <w:t>, but the intervention is implemented</w:t>
      </w:r>
      <w:r w:rsidR="000F5D1E">
        <w:t xml:space="preserve"> universally</w:t>
      </w:r>
      <w:r>
        <w:t xml:space="preserve"> in selected provinces</w:t>
      </w:r>
      <w:r w:rsidR="000F5D1E">
        <w:t>;</w:t>
      </w:r>
      <w:r w:rsidR="00925476">
        <w:t xml:space="preserve"> in some areas</w:t>
      </w:r>
      <w:r w:rsidR="000F5D1E">
        <w:t xml:space="preserve"> WIF</w:t>
      </w:r>
      <w:r w:rsidR="00925476">
        <w:t xml:space="preserve"> has been distributed via garment factories</w:t>
      </w:r>
      <w:r>
        <w:t>.</w:t>
      </w:r>
    </w:p>
    <w:p w:rsidR="001A2DB4" w:rsidRDefault="001A2DB4">
      <w:r>
        <w:t xml:space="preserve">Four percent of women of reproductive age report taking WIF supplements. There is large variation by province and it appears that the intervention is implemented in three domains: </w:t>
      </w:r>
      <w:proofErr w:type="spellStart"/>
      <w:r>
        <w:t>Pursat</w:t>
      </w:r>
      <w:proofErr w:type="spellEnd"/>
      <w:r>
        <w:t xml:space="preserve">, </w:t>
      </w:r>
      <w:proofErr w:type="spellStart"/>
      <w:r>
        <w:t>Svay</w:t>
      </w:r>
      <w:proofErr w:type="spellEnd"/>
      <w:r>
        <w:t xml:space="preserve"> </w:t>
      </w:r>
      <w:proofErr w:type="spellStart"/>
      <w:r>
        <w:t>Rieng</w:t>
      </w:r>
      <w:proofErr w:type="spellEnd"/>
      <w:r>
        <w:t xml:space="preserve">, and </w:t>
      </w:r>
      <w:proofErr w:type="spellStart"/>
      <w:r>
        <w:t>Kampot</w:t>
      </w:r>
      <w:proofErr w:type="spellEnd"/>
      <w:r>
        <w:t>/</w:t>
      </w:r>
      <w:proofErr w:type="spellStart"/>
      <w:r>
        <w:t>Kep</w:t>
      </w:r>
      <w:proofErr w:type="spellEnd"/>
      <w:r>
        <w:t xml:space="preserve">.  </w:t>
      </w:r>
    </w:p>
    <w:p w:rsidR="001A2DB4" w:rsidRDefault="001A2DB4">
      <w:r>
        <w:t>While targeting of WIF supplementation is not explicit, it does appear to be reaching poor, rural women disproportionately. 4.8% of rural women report taking the supplement, compared to 1.3% of urban women. 5.1% of women in the lowest wealth quintile report taking the supplement, compared to 2.0% in the highest wealth quintile.</w:t>
      </w:r>
    </w:p>
    <w:p w:rsidR="00F15F5A" w:rsidRPr="00F15F5A" w:rsidRDefault="001A2DB4">
      <w:pPr>
        <w:rPr>
          <w:rStyle w:val="Heading2Char"/>
        </w:rPr>
      </w:pPr>
      <w:r>
        <w:t>Estimates of WIF supplementation from the CDHS 2010 provide a baseline</w:t>
      </w:r>
      <w:r w:rsidR="000217E2">
        <w:t xml:space="preserve"> for future </w:t>
      </w:r>
      <w:proofErr w:type="spellStart"/>
      <w:r w:rsidR="000217E2">
        <w:t>programme</w:t>
      </w:r>
      <w:proofErr w:type="spellEnd"/>
      <w:r w:rsidR="000217E2">
        <w:t xml:space="preserve"> evaluation.</w:t>
      </w:r>
      <w:r w:rsidR="003C6D60">
        <w:br w:type="page"/>
      </w:r>
    </w:p>
    <w:tbl>
      <w:tblPr>
        <w:tblpPr w:leftFromText="187" w:rightFromText="187" w:vertAnchor="page" w:horzAnchor="margin" w:tblpXSpec="right" w:tblpY="676"/>
        <w:tblOverlap w:val="never"/>
        <w:tblW w:w="4505" w:type="dxa"/>
        <w:tblLook w:val="04A0" w:firstRow="1" w:lastRow="0" w:firstColumn="1" w:lastColumn="0" w:noHBand="0" w:noVBand="1"/>
      </w:tblPr>
      <w:tblGrid>
        <w:gridCol w:w="299"/>
        <w:gridCol w:w="299"/>
        <w:gridCol w:w="1365"/>
        <w:gridCol w:w="299"/>
        <w:gridCol w:w="972"/>
        <w:gridCol w:w="972"/>
        <w:gridCol w:w="299"/>
      </w:tblGrid>
      <w:tr w:rsidR="00F15F5A" w:rsidRPr="00C16895" w:rsidTr="00F15F5A">
        <w:trPr>
          <w:trHeight w:val="1"/>
        </w:trPr>
        <w:tc>
          <w:tcPr>
            <w:tcW w:w="299" w:type="dxa"/>
            <w:tcBorders>
              <w:top w:val="single" w:sz="4" w:space="0" w:color="auto"/>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lastRenderedPageBreak/>
              <w:t> </w:t>
            </w:r>
          </w:p>
        </w:tc>
        <w:tc>
          <w:tcPr>
            <w:tcW w:w="299" w:type="dxa"/>
            <w:tcBorders>
              <w:top w:val="single" w:sz="4" w:space="0" w:color="auto"/>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365" w:type="dxa"/>
            <w:tcBorders>
              <w:top w:val="single" w:sz="4" w:space="0" w:color="auto"/>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9" w:type="dxa"/>
            <w:tcBorders>
              <w:top w:val="single" w:sz="4" w:space="0" w:color="auto"/>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single" w:sz="4" w:space="0" w:color="auto"/>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single" w:sz="4" w:space="0" w:color="auto"/>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9" w:type="dxa"/>
            <w:tcBorders>
              <w:top w:val="single" w:sz="4" w:space="0" w:color="auto"/>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9" w:type="dxa"/>
            <w:tcBorders>
              <w:top w:val="nil"/>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365" w:type="dxa"/>
            <w:tcBorders>
              <w:top w:val="nil"/>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9" w:type="dxa"/>
            <w:tcBorders>
              <w:top w:val="nil"/>
              <w:left w:val="nil"/>
              <w:bottom w:val="nil"/>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nil"/>
              <w:left w:val="nil"/>
              <w:bottom w:val="nil"/>
              <w:right w:val="nil"/>
            </w:tcBorders>
            <w:shd w:val="clear" w:color="000000" w:fill="D9D9D9"/>
            <w:vAlign w:val="bottom"/>
            <w:hideMark/>
          </w:tcPr>
          <w:p w:rsidR="00F15F5A" w:rsidRPr="00C16895" w:rsidRDefault="00F15F5A" w:rsidP="00F15F5A">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nil"/>
              <w:left w:val="nil"/>
              <w:bottom w:val="nil"/>
              <w:right w:val="nil"/>
            </w:tcBorders>
            <w:shd w:val="clear" w:color="000000" w:fill="D9D9D9"/>
            <w:vAlign w:val="bottom"/>
            <w:hideMark/>
          </w:tcPr>
          <w:p w:rsidR="00F15F5A" w:rsidRPr="00C16895" w:rsidRDefault="00F15F5A" w:rsidP="00F15F5A">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F15F5A" w:rsidRPr="00C16895" w:rsidTr="00F15F5A">
        <w:trPr>
          <w:trHeight w:val="2"/>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1664" w:type="dxa"/>
            <w:gridSpan w:val="2"/>
            <w:tcBorders>
              <w:top w:val="nil"/>
              <w:left w:val="nil"/>
              <w:bottom w:val="single" w:sz="4" w:space="0" w:color="auto"/>
              <w:right w:val="nil"/>
            </w:tcBorders>
            <w:shd w:val="clear" w:color="000000" w:fill="D9D9D9"/>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Background Characteristic</w:t>
            </w:r>
          </w:p>
        </w:tc>
        <w:tc>
          <w:tcPr>
            <w:tcW w:w="299" w:type="dxa"/>
            <w:tcBorders>
              <w:top w:val="nil"/>
              <w:left w:val="nil"/>
              <w:bottom w:val="single" w:sz="4" w:space="0" w:color="auto"/>
              <w:right w:val="nil"/>
            </w:tcBorders>
            <w:shd w:val="clear" w:color="000000" w:fill="D9D9D9"/>
            <w:vAlign w:val="bottom"/>
            <w:hideMark/>
          </w:tcPr>
          <w:p w:rsidR="00F15F5A" w:rsidRPr="00C16895" w:rsidRDefault="00F15F5A" w:rsidP="00F15F5A">
            <w:pPr>
              <w:spacing w:after="0" w:line="240" w:lineRule="auto"/>
              <w:jc w:val="center"/>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c>
          <w:tcPr>
            <w:tcW w:w="972" w:type="dxa"/>
            <w:tcBorders>
              <w:top w:val="nil"/>
              <w:left w:val="nil"/>
              <w:bottom w:val="single" w:sz="4" w:space="0" w:color="auto"/>
              <w:right w:val="nil"/>
            </w:tcBorders>
            <w:shd w:val="clear" w:color="000000" w:fill="D9D9D9"/>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Received MN powder</w:t>
            </w:r>
          </w:p>
        </w:tc>
        <w:tc>
          <w:tcPr>
            <w:tcW w:w="972" w:type="dxa"/>
            <w:tcBorders>
              <w:top w:val="nil"/>
              <w:left w:val="nil"/>
              <w:bottom w:val="single" w:sz="4" w:space="0" w:color="auto"/>
              <w:right w:val="nil"/>
            </w:tcBorders>
            <w:shd w:val="clear" w:color="000000" w:fill="D9D9D9"/>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Number of children</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 </w:t>
            </w:r>
          </w:p>
        </w:tc>
      </w:tr>
      <w:tr w:rsidR="00F15F5A" w:rsidRPr="00C16895" w:rsidTr="00F15F5A">
        <w:trPr>
          <w:trHeight w:val="170"/>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i/>
                <w:iCs/>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i/>
                <w:iCs/>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Age in months</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i/>
                <w:iCs/>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i/>
                <w:iCs/>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6-8</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0.8</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414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9-11</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413</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12-17</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0.9</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817</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18-23</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2.4</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797</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24-35</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1,610</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36-47</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1,537</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48-59</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1,514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20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6-23</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1.6</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2,440</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24-59</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1.7</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4,661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8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Child sex</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Male</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1.4</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3,692</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Female</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3,409</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8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Residence</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Urban</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4.7</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1,144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Rural</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5,956</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8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Province</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Banteay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251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Cham</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882</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Chhnang</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0.8</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324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Kampong </w:t>
            </w:r>
            <w:proofErr w:type="spellStart"/>
            <w:r w:rsidRPr="00C16895">
              <w:rPr>
                <w:rFonts w:ascii="Arial Narrow" w:eastAsia="Times New Roman" w:hAnsi="Arial Narrow" w:cs="Calibri"/>
                <w:color w:val="000000"/>
                <w:sz w:val="16"/>
                <w:szCs w:val="16"/>
              </w:rPr>
              <w:t>Speu</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424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Kampong Thom</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375</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Kandal</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0.7</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704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Kratie</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211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Phnom Penh</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8.5</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589</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xml:space="preserve">Prey </w:t>
            </w:r>
            <w:proofErr w:type="spellStart"/>
            <w:r w:rsidRPr="00C16895">
              <w:rPr>
                <w:rFonts w:ascii="Arial Narrow" w:eastAsia="Times New Roman" w:hAnsi="Arial Narrow" w:cs="Calibri"/>
                <w:color w:val="000000"/>
                <w:sz w:val="16"/>
                <w:szCs w:val="16"/>
              </w:rPr>
              <w:t>Veng</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0.6</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512</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Pursat</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2.6</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233</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Siem</w:t>
            </w:r>
            <w:proofErr w:type="spellEnd"/>
            <w:r w:rsidRPr="00C16895">
              <w:rPr>
                <w:rFonts w:ascii="Arial Narrow" w:eastAsia="Times New Roman" w:hAnsi="Arial Narrow" w:cs="Calibri"/>
                <w:color w:val="000000"/>
                <w:sz w:val="16"/>
                <w:szCs w:val="16"/>
              </w:rPr>
              <w:t xml:space="preserve"> Reap</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0.4</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519</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Svay</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Rieng</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5.3</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238</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Takeo</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451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Otdar</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Meanchey</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1.9</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92</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Battambang</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Pailin</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494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Kampot</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Kep</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317</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2"/>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Sihanouk / </w:t>
            </w:r>
            <w:proofErr w:type="spellStart"/>
            <w:r w:rsidRPr="00C16895">
              <w:rPr>
                <w:rFonts w:ascii="Arial Narrow" w:eastAsia="Times New Roman" w:hAnsi="Arial Narrow" w:cs="Calibri"/>
                <w:color w:val="000000"/>
                <w:sz w:val="16"/>
                <w:szCs w:val="16"/>
              </w:rPr>
              <w:t>Koh</w:t>
            </w:r>
            <w:proofErr w:type="spellEnd"/>
            <w:r w:rsidRPr="00C16895">
              <w:rPr>
                <w:rFonts w:ascii="Arial Narrow" w:eastAsia="Times New Roman" w:hAnsi="Arial Narrow" w:cs="Calibri"/>
                <w:color w:val="000000"/>
                <w:sz w:val="16"/>
                <w:szCs w:val="16"/>
              </w:rPr>
              <w:t xml:space="preserve"> Kong</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0.7</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154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2"/>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Preah</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Vihear</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Steung</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Treng</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0.7</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189</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2"/>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roofErr w:type="spellStart"/>
            <w:r w:rsidRPr="00C16895">
              <w:rPr>
                <w:rFonts w:ascii="Arial Narrow" w:eastAsia="Times New Roman" w:hAnsi="Arial Narrow" w:cs="Calibri"/>
                <w:color w:val="000000"/>
                <w:sz w:val="16"/>
                <w:szCs w:val="16"/>
              </w:rPr>
              <w:t>Mondol</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r w:rsidRPr="00C16895">
              <w:rPr>
                <w:rFonts w:ascii="Arial Narrow" w:eastAsia="Times New Roman" w:hAnsi="Arial Narrow" w:cs="Calibri"/>
                <w:color w:val="000000"/>
                <w:sz w:val="16"/>
                <w:szCs w:val="16"/>
              </w:rPr>
              <w:t xml:space="preserve"> / </w:t>
            </w:r>
            <w:proofErr w:type="spellStart"/>
            <w:r w:rsidRPr="00C16895">
              <w:rPr>
                <w:rFonts w:ascii="Arial Narrow" w:eastAsia="Times New Roman" w:hAnsi="Arial Narrow" w:cs="Calibri"/>
                <w:color w:val="000000"/>
                <w:sz w:val="16"/>
                <w:szCs w:val="16"/>
              </w:rPr>
              <w:t>Ratanak</w:t>
            </w:r>
            <w:proofErr w:type="spellEnd"/>
            <w:r w:rsidRPr="00C16895">
              <w:rPr>
                <w:rFonts w:ascii="Arial Narrow" w:eastAsia="Times New Roman" w:hAnsi="Arial Narrow" w:cs="Calibri"/>
                <w:color w:val="000000"/>
                <w:sz w:val="16"/>
                <w:szCs w:val="16"/>
              </w:rPr>
              <w:t xml:space="preserve"> </w:t>
            </w:r>
            <w:proofErr w:type="spellStart"/>
            <w:r w:rsidRPr="00C16895">
              <w:rPr>
                <w:rFonts w:ascii="Arial Narrow" w:eastAsia="Times New Roman" w:hAnsi="Arial Narrow" w:cs="Calibri"/>
                <w:color w:val="000000"/>
                <w:sz w:val="16"/>
                <w:szCs w:val="16"/>
              </w:rPr>
              <w:t>Kiri</w:t>
            </w:r>
            <w:proofErr w:type="spellEnd"/>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0.2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141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8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Mother's education</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None</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1.6</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1,293</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Primary</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4,026</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Secondary +</w:t>
            </w: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2.8</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1,781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8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b/>
                <w:bCs/>
                <w:color w:val="000000"/>
                <w:sz w:val="16"/>
                <w:szCs w:val="16"/>
              </w:rPr>
            </w:pPr>
            <w:r w:rsidRPr="00C16895">
              <w:rPr>
                <w:rFonts w:ascii="Arial Narrow" w:eastAsia="Times New Roman" w:hAnsi="Arial Narrow" w:cs="Calibri"/>
                <w:b/>
                <w:bCs/>
                <w:color w:val="000000"/>
                <w:sz w:val="16"/>
                <w:szCs w:val="16"/>
              </w:rPr>
              <w:t>Wealth quintile</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Lowest</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1.0</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1,828</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Second</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1,522</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Middle</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1.1</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1,311</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Fourth</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1,235</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Highest</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4.5</w:t>
            </w: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1,204</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1365"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299"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972" w:type="dxa"/>
            <w:tcBorders>
              <w:top w:val="nil"/>
              <w:left w:val="nil"/>
              <w:bottom w:val="nil"/>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664" w:type="dxa"/>
            <w:gridSpan w:val="2"/>
            <w:tcBorders>
              <w:top w:val="nil"/>
              <w:left w:val="nil"/>
              <w:bottom w:val="single" w:sz="4" w:space="0" w:color="auto"/>
              <w:right w:val="nil"/>
            </w:tcBorders>
            <w:shd w:val="clear" w:color="auto" w:fill="auto"/>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Total</w:t>
            </w:r>
          </w:p>
        </w:tc>
        <w:tc>
          <w:tcPr>
            <w:tcW w:w="299" w:type="dxa"/>
            <w:tcBorders>
              <w:top w:val="nil"/>
              <w:left w:val="nil"/>
              <w:bottom w:val="single" w:sz="4" w:space="0" w:color="auto"/>
              <w:right w:val="nil"/>
            </w:tcBorders>
            <w:shd w:val="clear" w:color="auto" w:fill="auto"/>
            <w:noWrap/>
            <w:vAlign w:val="bottom"/>
            <w:hideMark/>
          </w:tcPr>
          <w:p w:rsidR="00F15F5A" w:rsidRPr="00C16895" w:rsidRDefault="00F15F5A" w:rsidP="00F15F5A">
            <w:pPr>
              <w:spacing w:after="0" w:line="240" w:lineRule="auto"/>
              <w:jc w:val="right"/>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972" w:type="dxa"/>
            <w:tcBorders>
              <w:top w:val="nil"/>
              <w:left w:val="nil"/>
              <w:bottom w:val="single" w:sz="4" w:space="0" w:color="auto"/>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1.7</w:t>
            </w:r>
          </w:p>
        </w:tc>
        <w:tc>
          <w:tcPr>
            <w:tcW w:w="972" w:type="dxa"/>
            <w:tcBorders>
              <w:top w:val="nil"/>
              <w:left w:val="nil"/>
              <w:bottom w:val="single" w:sz="4" w:space="0" w:color="auto"/>
              <w:right w:val="nil"/>
            </w:tcBorders>
            <w:shd w:val="clear" w:color="auto" w:fill="auto"/>
            <w:noWrap/>
            <w:vAlign w:val="bottom"/>
            <w:hideMark/>
          </w:tcPr>
          <w:p w:rsidR="00F15F5A" w:rsidRPr="00C16895" w:rsidRDefault="00F15F5A" w:rsidP="00F15F5A">
            <w:pPr>
              <w:spacing w:after="0" w:line="240" w:lineRule="auto"/>
              <w:jc w:val="center"/>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7,100</w:t>
            </w:r>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5"/>
        </w:trPr>
        <w:tc>
          <w:tcPr>
            <w:tcW w:w="299" w:type="dxa"/>
            <w:tcBorders>
              <w:top w:val="nil"/>
              <w:left w:val="single" w:sz="4" w:space="0" w:color="auto"/>
              <w:bottom w:val="nil"/>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3907" w:type="dxa"/>
            <w:gridSpan w:val="5"/>
            <w:tcBorders>
              <w:top w:val="nil"/>
              <w:left w:val="nil"/>
              <w:bottom w:val="nil"/>
              <w:right w:val="nil"/>
            </w:tcBorders>
            <w:shd w:val="clear" w:color="000000" w:fill="D9D9D9"/>
            <w:vAlign w:val="bottom"/>
            <w:hideMark/>
          </w:tcPr>
          <w:p w:rsidR="00F15F5A" w:rsidRPr="0068681F" w:rsidRDefault="0068681F" w:rsidP="0068681F">
            <w:pPr>
              <w:pStyle w:val="Caption"/>
              <w:keepNext/>
            </w:pPr>
            <w:bookmarkStart w:id="6" w:name="_Toc346097132"/>
            <w:r>
              <w:t xml:space="preserve">Table </w:t>
            </w:r>
            <w:r w:rsidR="00E56D30">
              <w:fldChar w:fldCharType="begin"/>
            </w:r>
            <w:r w:rsidR="00E56D30">
              <w:instrText xml:space="preserve"> SEQ Table \* ARABIC </w:instrText>
            </w:r>
            <w:r w:rsidR="00E56D30">
              <w:fldChar w:fldCharType="separate"/>
            </w:r>
            <w:r w:rsidR="00E56D30">
              <w:rPr>
                <w:noProof/>
              </w:rPr>
              <w:t>3</w:t>
            </w:r>
            <w:r w:rsidR="00E56D30">
              <w:rPr>
                <w:noProof/>
              </w:rPr>
              <w:fldChar w:fldCharType="end"/>
            </w:r>
            <w:r>
              <w:t xml:space="preserve">. </w:t>
            </w:r>
            <w:r w:rsidRPr="009C6EAA">
              <w:t>Percent of children aged 6-59 months who received micronutrient powder in the 7 days preceding the survey, according to background characteristics. Cambodia DHS 2010</w:t>
            </w:r>
            <w:bookmarkEnd w:id="6"/>
          </w:p>
        </w:tc>
        <w:tc>
          <w:tcPr>
            <w:tcW w:w="299" w:type="dxa"/>
            <w:tcBorders>
              <w:top w:val="nil"/>
              <w:left w:val="nil"/>
              <w:bottom w:val="nil"/>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r w:rsidR="00F15F5A" w:rsidRPr="00C16895" w:rsidTr="00F15F5A">
        <w:trPr>
          <w:trHeight w:val="1"/>
        </w:trPr>
        <w:tc>
          <w:tcPr>
            <w:tcW w:w="299" w:type="dxa"/>
            <w:tcBorders>
              <w:top w:val="nil"/>
              <w:left w:val="single" w:sz="4" w:space="0" w:color="auto"/>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1365" w:type="dxa"/>
            <w:tcBorders>
              <w:top w:val="nil"/>
              <w:left w:val="nil"/>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299" w:type="dxa"/>
            <w:tcBorders>
              <w:top w:val="nil"/>
              <w:left w:val="nil"/>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972" w:type="dxa"/>
            <w:tcBorders>
              <w:top w:val="nil"/>
              <w:left w:val="nil"/>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c>
          <w:tcPr>
            <w:tcW w:w="972" w:type="dxa"/>
            <w:tcBorders>
              <w:top w:val="nil"/>
              <w:left w:val="nil"/>
              <w:bottom w:val="single" w:sz="4" w:space="0" w:color="auto"/>
              <w:right w:val="nil"/>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p>
        </w:tc>
        <w:tc>
          <w:tcPr>
            <w:tcW w:w="299" w:type="dxa"/>
            <w:tcBorders>
              <w:top w:val="nil"/>
              <w:left w:val="nil"/>
              <w:bottom w:val="single" w:sz="4" w:space="0" w:color="auto"/>
              <w:right w:val="single" w:sz="4" w:space="0" w:color="auto"/>
            </w:tcBorders>
            <w:shd w:val="clear" w:color="000000" w:fill="D9D9D9"/>
            <w:noWrap/>
            <w:vAlign w:val="bottom"/>
            <w:hideMark/>
          </w:tcPr>
          <w:p w:rsidR="00F15F5A" w:rsidRPr="00C16895" w:rsidRDefault="00F15F5A" w:rsidP="00F15F5A">
            <w:pPr>
              <w:spacing w:after="0" w:line="240" w:lineRule="auto"/>
              <w:rPr>
                <w:rFonts w:ascii="Arial Narrow" w:eastAsia="Times New Roman" w:hAnsi="Arial Narrow" w:cs="Calibri"/>
                <w:color w:val="000000"/>
                <w:sz w:val="16"/>
                <w:szCs w:val="16"/>
              </w:rPr>
            </w:pPr>
            <w:r w:rsidRPr="00C16895">
              <w:rPr>
                <w:rFonts w:ascii="Arial Narrow" w:eastAsia="Times New Roman" w:hAnsi="Arial Narrow" w:cs="Calibri"/>
                <w:color w:val="000000"/>
                <w:sz w:val="16"/>
                <w:szCs w:val="16"/>
              </w:rPr>
              <w:t> </w:t>
            </w:r>
          </w:p>
        </w:tc>
      </w:tr>
    </w:tbl>
    <w:p w:rsidR="003C6D60" w:rsidRDefault="00F15F5A">
      <w:bookmarkStart w:id="7" w:name="_Toc346097182"/>
      <w:r w:rsidRPr="00F15F5A">
        <w:rPr>
          <w:rStyle w:val="Heading2Char"/>
        </w:rPr>
        <w:t>Multiple Micronutrient Powder In-Home Fortification</w:t>
      </w:r>
      <w:bookmarkEnd w:id="7"/>
    </w:p>
    <w:p w:rsidR="003C6D60" w:rsidRDefault="003C6D60"/>
    <w:p w:rsidR="00925476" w:rsidRDefault="00925476">
      <w:proofErr w:type="gramStart"/>
      <w:r>
        <w:t>Multiple Micronutrient Powder In-Home Fortification (MNP)</w:t>
      </w:r>
      <w:proofErr w:type="gramEnd"/>
      <w:r>
        <w:t xml:space="preserve"> is </w:t>
      </w:r>
      <w:r w:rsidR="001C7FAC">
        <w:t xml:space="preserve">designed for children 6-59 months of age. In Cambodia, MNP is </w:t>
      </w:r>
      <w:r>
        <w:t>provided through the public health sector to c</w:t>
      </w:r>
      <w:r w:rsidR="001C7FAC">
        <w:t>hildren 6 to 23</w:t>
      </w:r>
      <w:r>
        <w:t xml:space="preserve"> months of age. At the time of the CDHS 2010 the intervention was still being researched and implementation of the </w:t>
      </w:r>
      <w:proofErr w:type="spellStart"/>
      <w:r>
        <w:t>programme</w:t>
      </w:r>
      <w:proofErr w:type="spellEnd"/>
      <w:r>
        <w:t xml:space="preserve"> had not yet started</w:t>
      </w:r>
      <w:sdt>
        <w:sdtPr>
          <w:id w:val="37861326"/>
          <w:citation/>
        </w:sdtPr>
        <w:sdtContent>
          <w:r w:rsidR="00E15E93">
            <w:fldChar w:fldCharType="begin"/>
          </w:r>
          <w:r w:rsidR="00E15E93">
            <w:instrText xml:space="preserve">CITATION Con11 \l 1033 </w:instrText>
          </w:r>
          <w:r w:rsidR="00E15E93">
            <w:fldChar w:fldCharType="separate"/>
          </w:r>
          <w:r w:rsidR="008C6692">
            <w:rPr>
              <w:noProof/>
            </w:rPr>
            <w:t xml:space="preserve"> (Conkle)</w:t>
          </w:r>
          <w:r w:rsidR="00E15E93">
            <w:fldChar w:fldCharType="end"/>
          </w:r>
        </w:sdtContent>
      </w:sdt>
      <w:r>
        <w:t>.</w:t>
      </w:r>
    </w:p>
    <w:p w:rsidR="00CC6802" w:rsidRDefault="001C7FAC">
      <w:r>
        <w:t>1.6</w:t>
      </w:r>
      <w:r w:rsidR="00925476">
        <w:t>% of caretakers</w:t>
      </w:r>
      <w:r>
        <w:t xml:space="preserve"> of children 6 to 23 months of age</w:t>
      </w:r>
      <w:r w:rsidR="00925476">
        <w:t xml:space="preserve"> report that they received MNP in the last seven days. This estimate provides a baseline before </w:t>
      </w:r>
      <w:proofErr w:type="spellStart"/>
      <w:r w:rsidR="00925476">
        <w:t>programme</w:t>
      </w:r>
      <w:proofErr w:type="spellEnd"/>
      <w:r w:rsidR="00925476">
        <w:t xml:space="preserve"> implementation. </w:t>
      </w:r>
    </w:p>
    <w:p w:rsidR="00CC6802" w:rsidRDefault="00CC6802">
      <w:r>
        <w:t>The 120 c</w:t>
      </w:r>
      <w:r w:rsidR="00925476">
        <w:t>aretakers</w:t>
      </w:r>
      <w:r w:rsidR="001C7FAC">
        <w:t xml:space="preserve"> of children 6 to 59 months of age</w:t>
      </w:r>
      <w:r w:rsidR="00925476">
        <w:t xml:space="preserve"> </w:t>
      </w:r>
      <w:r>
        <w:t>that report receiving MNP are likely referring to a multivitamin product procured from the private sector. In Phnom Penh, 8.5% of caretakers report receiving MNP.</w:t>
      </w:r>
    </w:p>
    <w:p w:rsidR="00925476" w:rsidRDefault="00CC6802">
      <w:r>
        <w:t xml:space="preserve">For future </w:t>
      </w:r>
      <w:proofErr w:type="spellStart"/>
      <w:r>
        <w:t>programme</w:t>
      </w:r>
      <w:proofErr w:type="spellEnd"/>
      <w:r>
        <w:t xml:space="preserve"> evaluations it will be important that surveys are able to distinguish between public and private sector sources.</w:t>
      </w:r>
      <w:r w:rsidR="001C7FAC">
        <w:t xml:space="preserve"> Public sector distribution may increase demand for a private sector MNP in areas without the </w:t>
      </w:r>
      <w:proofErr w:type="spellStart"/>
      <w:r w:rsidR="001C7FAC">
        <w:t>programme</w:t>
      </w:r>
      <w:proofErr w:type="spellEnd"/>
      <w:r w:rsidR="001C7FAC">
        <w:t xml:space="preserve"> and/or for older children outside of the target age group. </w:t>
      </w:r>
    </w:p>
    <w:p w:rsidR="00C16895" w:rsidRDefault="00C16895"/>
    <w:p w:rsidR="003C6D60" w:rsidRDefault="003C6D60">
      <w:r>
        <w:br w:type="page"/>
      </w:r>
    </w:p>
    <w:p w:rsidR="00C16895" w:rsidRDefault="00C16895" w:rsidP="00A0756F">
      <w:pPr>
        <w:pStyle w:val="Heading1"/>
      </w:pPr>
      <w:bookmarkStart w:id="8" w:name="_Toc346097183"/>
      <w:r>
        <w:lastRenderedPageBreak/>
        <w:t>Trend Analysis of Child Anthropometry</w:t>
      </w:r>
      <w:bookmarkEnd w:id="8"/>
    </w:p>
    <w:p w:rsidR="003B6A10" w:rsidRDefault="003B6A10" w:rsidP="003B6A10"/>
    <w:p w:rsidR="003A3A4A" w:rsidRDefault="00A0756F" w:rsidP="003B6A10">
      <w:r>
        <w:t>Stagnation in nutritional improvement of children in Cambodia</w:t>
      </w:r>
      <w:r w:rsidR="003A3A4A">
        <w:t>, shown in three national surveys from 2008 to 2011</w:t>
      </w:r>
      <w:r w:rsidR="00F45A2E">
        <w:t xml:space="preserve"> (Figure </w:t>
      </w:r>
      <w:r w:rsidR="00E15E93">
        <w:t>1</w:t>
      </w:r>
      <w:r w:rsidR="00F45A2E">
        <w:t>)</w:t>
      </w:r>
      <w:r w:rsidR="003A3A4A">
        <w:t>,</w:t>
      </w:r>
      <w:r>
        <w:t xml:space="preserve"> coincided with rising food prices</w:t>
      </w:r>
      <w:sdt>
        <w:sdtPr>
          <w:id w:val="-1861357511"/>
          <w:citation/>
        </w:sdtPr>
        <w:sdtContent>
          <w:r w:rsidR="00E15E93">
            <w:fldChar w:fldCharType="begin"/>
          </w:r>
          <w:r w:rsidR="00E15E93">
            <w:instrText xml:space="preserve"> CITATION Mis12 \l 1033 </w:instrText>
          </w:r>
          <w:r w:rsidR="00E15E93">
            <w:fldChar w:fldCharType="separate"/>
          </w:r>
          <w:r w:rsidR="008C6692">
            <w:rPr>
              <w:noProof/>
            </w:rPr>
            <w:t xml:space="preserve"> (Mishra)</w:t>
          </w:r>
          <w:r w:rsidR="00E15E93">
            <w:fldChar w:fldCharType="end"/>
          </w:r>
        </w:sdtContent>
      </w:sdt>
      <w:r>
        <w:t xml:space="preserve">. </w:t>
      </w:r>
      <w:r w:rsidR="003A3A4A">
        <w:t>It was hypothesized that higher food prices would have more of a detrimental effect on net food buyers: landless, rural households and urban, poor households. This section aims to determine if</w:t>
      </w:r>
      <w:r w:rsidR="00F73A8C">
        <w:t xml:space="preserve"> an increase</w:t>
      </w:r>
      <w:r w:rsidR="003A3A4A">
        <w:t xml:space="preserve"> in child malnutrition among </w:t>
      </w:r>
      <w:r w:rsidR="00814217">
        <w:t>specific groups</w:t>
      </w:r>
      <w:r w:rsidR="003A3A4A">
        <w:t xml:space="preserve"> is</w:t>
      </w:r>
      <w:r w:rsidR="00F73A8C">
        <w:t xml:space="preserve"> </w:t>
      </w:r>
      <w:r w:rsidR="00814217">
        <w:t>responsible</w:t>
      </w:r>
      <w:r w:rsidR="00F73A8C">
        <w:t xml:space="preserve"> </w:t>
      </w:r>
      <w:r w:rsidR="00814217">
        <w:t>for</w:t>
      </w:r>
      <w:r w:rsidR="00F73A8C">
        <w:t xml:space="preserve"> the stagnation in nutritional improvement.</w:t>
      </w:r>
      <w:r w:rsidR="003A3A4A">
        <w:t xml:space="preserve">   </w:t>
      </w:r>
    </w:p>
    <w:p w:rsidR="0068681F" w:rsidRDefault="0068681F" w:rsidP="0068681F">
      <w:pPr>
        <w:pStyle w:val="Caption"/>
        <w:keepNext/>
      </w:pPr>
      <w:bookmarkStart w:id="9" w:name="_Toc346097103"/>
      <w:bookmarkStart w:id="10" w:name="_GoBack"/>
      <w:proofErr w:type="gramStart"/>
      <w:r>
        <w:t>Figure</w:t>
      </w:r>
      <w:bookmarkEnd w:id="10"/>
      <w:r>
        <w:t xml:space="preserve"> </w:t>
      </w:r>
      <w:r w:rsidR="00E56D30">
        <w:fldChar w:fldCharType="begin"/>
      </w:r>
      <w:r w:rsidR="00E56D30">
        <w:instrText xml:space="preserve"> SEQ Figure \* ARABIC </w:instrText>
      </w:r>
      <w:r w:rsidR="00E56D30">
        <w:fldChar w:fldCharType="separate"/>
      </w:r>
      <w:r w:rsidR="00B23ACD">
        <w:rPr>
          <w:noProof/>
        </w:rPr>
        <w:t>1</w:t>
      </w:r>
      <w:r w:rsidR="00E56D30">
        <w:rPr>
          <w:noProof/>
        </w:rPr>
        <w:fldChar w:fldCharType="end"/>
      </w:r>
      <w:r>
        <w:t>.</w:t>
      </w:r>
      <w:proofErr w:type="gramEnd"/>
      <w:r>
        <w:t xml:space="preserve"> </w:t>
      </w:r>
      <w:r w:rsidRPr="008A6EC3">
        <w:t>Trends in U</w:t>
      </w:r>
      <w:r w:rsidR="00976AF8">
        <w:t>nder 5</w:t>
      </w:r>
      <w:r w:rsidRPr="008A6EC3">
        <w:t xml:space="preserve"> Child Malnutrition from 2000-2010</w:t>
      </w:r>
      <w:r w:rsidR="00976AF8">
        <w:t>, DHS &amp; CAS</w:t>
      </w:r>
      <w:bookmarkEnd w:id="9"/>
    </w:p>
    <w:p w:rsidR="00F45A2E" w:rsidRDefault="00F45A2E" w:rsidP="003B6A10">
      <w:r>
        <w:rPr>
          <w:noProof/>
        </w:rPr>
        <w:drawing>
          <wp:inline distT="0" distB="0" distL="0" distR="0" wp14:anchorId="0810CDB3" wp14:editId="07AFFC5C">
            <wp:extent cx="5667375" cy="338137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2CE6" w:rsidRDefault="003A3A4A" w:rsidP="003B6A10">
      <w:r>
        <w:t>The 2012 Cambodia Equity Analysis</w:t>
      </w:r>
      <w:r w:rsidR="0094239B">
        <w:t xml:space="preserve"> (CEA)</w:t>
      </w:r>
      <w:r>
        <w:t xml:space="preserve"> showed that ther</w:t>
      </w:r>
      <w:r w:rsidR="00F73A8C">
        <w:t>e was a statistically-</w:t>
      </w:r>
      <w:r>
        <w:t>significant</w:t>
      </w:r>
      <w:r w:rsidR="00F73A8C">
        <w:t>, two percentage point</w:t>
      </w:r>
      <w:r>
        <w:t xml:space="preserve"> increase in child wasting</w:t>
      </w:r>
      <w:r w:rsidR="00F73A8C">
        <w:t xml:space="preserve"> (weight-for-height)</w:t>
      </w:r>
      <w:r>
        <w:t xml:space="preserve"> from 2005 to 2010; the analysis also showed</w:t>
      </w:r>
      <w:r w:rsidR="00F73A8C">
        <w:t xml:space="preserve"> no change in child underweight (weight-for-age), except among one group</w:t>
      </w:r>
      <w:sdt>
        <w:sdtPr>
          <w:id w:val="-1515604908"/>
          <w:citation/>
        </w:sdtPr>
        <w:sdtContent>
          <w:r w:rsidR="00E15E93">
            <w:fldChar w:fldCharType="begin"/>
          </w:r>
          <w:r w:rsidR="00E15E93">
            <w:instrText xml:space="preserve">CITATION Wis12 \l 1033 </w:instrText>
          </w:r>
          <w:r w:rsidR="00E15E93">
            <w:fldChar w:fldCharType="separate"/>
          </w:r>
          <w:r w:rsidR="008C6692">
            <w:rPr>
              <w:noProof/>
            </w:rPr>
            <w:t xml:space="preserve"> (Wise)</w:t>
          </w:r>
          <w:r w:rsidR="00E15E93">
            <w:fldChar w:fldCharType="end"/>
          </w:r>
        </w:sdtContent>
      </w:sdt>
      <w:r w:rsidR="00F73A8C">
        <w:t>. Underweight is the preferred anthropometry indicator for trend analysis because it is the easiest to measure and the most reliable. The equity analysis showed that underweight stagnated for boys and girls, among all wealth groups, and by all levels of maternal education. The only group to see continued improvement was urban</w:t>
      </w:r>
      <w:r w:rsidR="00116798">
        <w:t xml:space="preserve"> (8.6% pt. decrease)</w:t>
      </w:r>
      <w:r w:rsidR="00F73A8C">
        <w:t xml:space="preserve"> and the gap between urban and rural areas grew by more than ten percentage points.</w:t>
      </w:r>
      <w:r w:rsidR="008F2CE6">
        <w:t xml:space="preserve"> It would appear that urban areas are not responsible for stagnation in nutritional improvement, but the equity analysis did not look at urban/rural trends disaggregated by wealth.</w:t>
      </w:r>
    </w:p>
    <w:p w:rsidR="00A116A1" w:rsidRDefault="00976AF8" w:rsidP="003B6A10">
      <w:r>
        <w:rPr>
          <w:noProof/>
        </w:rPr>
        <w:lastRenderedPageBreak/>
        <mc:AlternateContent>
          <mc:Choice Requires="wps">
            <w:drawing>
              <wp:anchor distT="0" distB="0" distL="114300" distR="114300" simplePos="0" relativeHeight="251675648" behindDoc="0" locked="0" layoutInCell="1" allowOverlap="1" wp14:anchorId="05710EF9" wp14:editId="5D5806C0">
                <wp:simplePos x="0" y="0"/>
                <wp:positionH relativeFrom="column">
                  <wp:posOffset>1638300</wp:posOffset>
                </wp:positionH>
                <wp:positionV relativeFrom="paragraph">
                  <wp:posOffset>-504825</wp:posOffset>
                </wp:positionV>
                <wp:extent cx="4572000" cy="22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prstClr val="white"/>
                        </a:solidFill>
                        <a:ln>
                          <a:noFill/>
                        </a:ln>
                        <a:effectLst/>
                      </wps:spPr>
                      <wps:txbx>
                        <w:txbxContent>
                          <w:p w:rsidR="00E56D30" w:rsidRDefault="00E56D30" w:rsidP="00976AF8">
                            <w:pPr>
                              <w:pStyle w:val="Caption"/>
                              <w:rPr>
                                <w:noProof/>
                              </w:rPr>
                            </w:pPr>
                            <w:bookmarkStart w:id="11" w:name="_Toc346097104"/>
                            <w:proofErr w:type="gramStart"/>
                            <w:r>
                              <w:t xml:space="preserve">Figure </w:t>
                            </w:r>
                            <w:r>
                              <w:fldChar w:fldCharType="begin"/>
                            </w:r>
                            <w:r>
                              <w:instrText xml:space="preserve"> SEQ Figure \* ARABIC </w:instrText>
                            </w:r>
                            <w:r>
                              <w:fldChar w:fldCharType="separate"/>
                            </w:r>
                            <w:r>
                              <w:rPr>
                                <w:noProof/>
                              </w:rPr>
                              <w:t>2</w:t>
                            </w:r>
                            <w:r>
                              <w:rPr>
                                <w:noProof/>
                              </w:rPr>
                              <w:fldChar w:fldCharType="end"/>
                            </w:r>
                            <w:r>
                              <w:t>.</w:t>
                            </w:r>
                            <w:proofErr w:type="gramEnd"/>
                            <w:r>
                              <w:t xml:space="preserve"> Trends in weight for age </w:t>
                            </w:r>
                            <w:proofErr w:type="gramStart"/>
                            <w:r>
                              <w:t>z</w:t>
                            </w:r>
                            <w:proofErr w:type="gramEnd"/>
                            <w:r>
                              <w:t xml:space="preserve"> score: Rural by Wealth, CDHS 2000-2010</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29pt;margin-top:-39.75pt;width:5in;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" stroked="f">
                <v:textbox inset="0,0,0,0">
                  <w:txbxContent>
                    <w:p w:rsidR="00E56D30" w:rsidRDefault="00E56D30" w:rsidP="00976AF8">
                      <w:pPr>
                        <w:pStyle w:val="Caption"/>
                        <w:rPr>
                          <w:noProof/>
                        </w:rPr>
                      </w:pPr>
                      <w:bookmarkStart w:id="12" w:name="_Toc346097104"/>
                      <w:proofErr w:type="gramStart"/>
                      <w:r>
                        <w:t xml:space="preserve">Figure </w:t>
                      </w:r>
                      <w:r>
                        <w:fldChar w:fldCharType="begin"/>
                      </w:r>
                      <w:r>
                        <w:instrText xml:space="preserve"> SEQ Figure \* ARABIC </w:instrText>
                      </w:r>
                      <w:r>
                        <w:fldChar w:fldCharType="separate"/>
                      </w:r>
                      <w:r>
                        <w:rPr>
                          <w:noProof/>
                        </w:rPr>
                        <w:t>2</w:t>
                      </w:r>
                      <w:r>
                        <w:rPr>
                          <w:noProof/>
                        </w:rPr>
                        <w:fldChar w:fldCharType="end"/>
                      </w:r>
                      <w:r>
                        <w:t>.</w:t>
                      </w:r>
                      <w:proofErr w:type="gramEnd"/>
                      <w:r>
                        <w:t xml:space="preserve"> Trends in weight for age </w:t>
                      </w:r>
                      <w:proofErr w:type="gramStart"/>
                      <w:r>
                        <w:t>z</w:t>
                      </w:r>
                      <w:proofErr w:type="gramEnd"/>
                      <w:r>
                        <w:t xml:space="preserve"> score: Rural by Wealth, CDHS 2000-2010</w:t>
                      </w:r>
                      <w:bookmarkEnd w:id="12"/>
                    </w:p>
                  </w:txbxContent>
                </v:textbox>
                <w10:wrap type="square"/>
              </v:shape>
            </w:pict>
          </mc:Fallback>
        </mc:AlternateContent>
      </w:r>
      <w:r w:rsidR="00F45A2E">
        <w:rPr>
          <w:noProof/>
        </w:rPr>
        <w:drawing>
          <wp:anchor distT="0" distB="0" distL="114300" distR="114300" simplePos="0" relativeHeight="251659264" behindDoc="0" locked="0" layoutInCell="1" allowOverlap="1" wp14:anchorId="1507D89B" wp14:editId="690D7884">
            <wp:simplePos x="0" y="0"/>
            <wp:positionH relativeFrom="margin">
              <wp:posOffset>1638300</wp:posOffset>
            </wp:positionH>
            <wp:positionV relativeFrom="margin">
              <wp:posOffset>-276225</wp:posOffset>
            </wp:positionV>
            <wp:extent cx="4572000" cy="287655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8F2CE6">
        <w:t xml:space="preserve">Underweight status is determined by a z-score, which measures the distance a child is from what is considered a normal weight for his or her age. </w:t>
      </w:r>
      <w:r w:rsidR="0097559C">
        <w:t>For an individual child, a</w:t>
      </w:r>
      <w:r w:rsidR="008F2CE6">
        <w:t xml:space="preserve"> z-score less than -1 indicates mild underweight and a score below -2 </w:t>
      </w:r>
      <w:r w:rsidR="00814217">
        <w:t xml:space="preserve">is considered moderately underweight. </w:t>
      </w:r>
      <w:r w:rsidR="00814217" w:rsidRPr="00E15E93">
        <w:t xml:space="preserve">Figure </w:t>
      </w:r>
      <w:r w:rsidR="00E15E93" w:rsidRPr="00E15E93">
        <w:t>2</w:t>
      </w:r>
      <w:r w:rsidR="00814217">
        <w:t xml:space="preserve"> shows in all wealth quintiles in rural areas the average of child weight is lower than normal in all three years. In a healthy population the average z-score would be 0. The figure also shows that af</w:t>
      </w:r>
      <w:r w:rsidR="0097559C">
        <w:t>ter improvement from 2000 to 200</w:t>
      </w:r>
      <w:r w:rsidR="00814217">
        <w:t>5, all wealth quintiles have stagnated from 2005 to 2010.</w:t>
      </w:r>
      <w:r w:rsidR="002D2072">
        <w:t xml:space="preserve"> This suggests </w:t>
      </w:r>
      <w:r w:rsidR="00FE4AA4">
        <w:t>that high food prices are not the only cause of stagnation in nutritional improvement</w:t>
      </w:r>
      <w:r w:rsidR="002D2072">
        <w:t>.</w:t>
      </w:r>
    </w:p>
    <w:p w:rsidR="002A1E0F" w:rsidRDefault="00976AF8" w:rsidP="003B6A10">
      <w:r>
        <w:rPr>
          <w:noProof/>
        </w:rPr>
        <mc:AlternateContent>
          <mc:Choice Requires="wps">
            <w:drawing>
              <wp:anchor distT="0" distB="0" distL="114300" distR="114300" simplePos="0" relativeHeight="251677696" behindDoc="0" locked="0" layoutInCell="1" allowOverlap="1" wp14:anchorId="44D5415C" wp14:editId="4439455B">
                <wp:simplePos x="0" y="0"/>
                <wp:positionH relativeFrom="column">
                  <wp:posOffset>2105025</wp:posOffset>
                </wp:positionH>
                <wp:positionV relativeFrom="paragraph">
                  <wp:posOffset>723900</wp:posOffset>
                </wp:positionV>
                <wp:extent cx="4038600" cy="200025"/>
                <wp:effectExtent l="0" t="0" r="0" b="9525"/>
                <wp:wrapSquare wrapText="bothSides"/>
                <wp:docPr id="34" name="Text Box 34"/>
                <wp:cNvGraphicFramePr/>
                <a:graphic xmlns:a="http://schemas.openxmlformats.org/drawingml/2006/main">
                  <a:graphicData uri="http://schemas.microsoft.com/office/word/2010/wordprocessingShape">
                    <wps:wsp>
                      <wps:cNvSpPr txBox="1"/>
                      <wps:spPr>
                        <a:xfrm>
                          <a:off x="0" y="0"/>
                          <a:ext cx="4038600" cy="200025"/>
                        </a:xfrm>
                        <a:prstGeom prst="rect">
                          <a:avLst/>
                        </a:prstGeom>
                        <a:solidFill>
                          <a:prstClr val="white"/>
                        </a:solidFill>
                        <a:ln>
                          <a:noFill/>
                        </a:ln>
                        <a:effectLst/>
                      </wps:spPr>
                      <wps:txbx>
                        <w:txbxContent>
                          <w:p w:rsidR="00E56D30" w:rsidRDefault="00E56D30" w:rsidP="00976AF8">
                            <w:pPr>
                              <w:pStyle w:val="Caption"/>
                              <w:rPr>
                                <w:noProof/>
                              </w:rPr>
                            </w:pPr>
                            <w:bookmarkStart w:id="13" w:name="_Toc346097105"/>
                            <w:proofErr w:type="gramStart"/>
                            <w:r>
                              <w:t xml:space="preserve">Figure </w:t>
                            </w:r>
                            <w:r>
                              <w:fldChar w:fldCharType="begin"/>
                            </w:r>
                            <w:r>
                              <w:instrText xml:space="preserve"> SEQ Figure \* ARABIC </w:instrText>
                            </w:r>
                            <w:r>
                              <w:fldChar w:fldCharType="separate"/>
                            </w:r>
                            <w:r>
                              <w:rPr>
                                <w:noProof/>
                              </w:rPr>
                              <w:t>3</w:t>
                            </w:r>
                            <w:r>
                              <w:rPr>
                                <w:noProof/>
                              </w:rPr>
                              <w:fldChar w:fldCharType="end"/>
                            </w:r>
                            <w:r>
                              <w:t>.</w:t>
                            </w:r>
                            <w:proofErr w:type="gramEnd"/>
                            <w:r>
                              <w:t xml:space="preserve"> Trends in weight for age </w:t>
                            </w:r>
                            <w:proofErr w:type="gramStart"/>
                            <w:r>
                              <w:t>z</w:t>
                            </w:r>
                            <w:proofErr w:type="gramEnd"/>
                            <w:r>
                              <w:t xml:space="preserve"> score: Urban by Wealth, CDHS 2000-2010</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27" type="#_x0000_t202" style="position:absolute;margin-left:165.75pt;margin-top:57pt;width:318pt;height:1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" stroked="f">
                <v:textbox inset="0,0,0,0">
                  <w:txbxContent>
                    <w:p w:rsidR="00E56D30" w:rsidRDefault="00E56D30" w:rsidP="00976AF8">
                      <w:pPr>
                        <w:pStyle w:val="Caption"/>
                        <w:rPr>
                          <w:noProof/>
                        </w:rPr>
                      </w:pPr>
                      <w:bookmarkStart w:id="14" w:name="_Toc346097105"/>
                      <w:proofErr w:type="gramStart"/>
                      <w:r>
                        <w:t xml:space="preserve">Figure </w:t>
                      </w:r>
                      <w:r>
                        <w:fldChar w:fldCharType="begin"/>
                      </w:r>
                      <w:r>
                        <w:instrText xml:space="preserve"> SEQ Figure \* ARABIC </w:instrText>
                      </w:r>
                      <w:r>
                        <w:fldChar w:fldCharType="separate"/>
                      </w:r>
                      <w:r>
                        <w:rPr>
                          <w:noProof/>
                        </w:rPr>
                        <w:t>3</w:t>
                      </w:r>
                      <w:r>
                        <w:rPr>
                          <w:noProof/>
                        </w:rPr>
                        <w:fldChar w:fldCharType="end"/>
                      </w:r>
                      <w:r>
                        <w:t>.</w:t>
                      </w:r>
                      <w:proofErr w:type="gramEnd"/>
                      <w:r>
                        <w:t xml:space="preserve"> Trends in weight for age </w:t>
                      </w:r>
                      <w:proofErr w:type="gramStart"/>
                      <w:r>
                        <w:t>z</w:t>
                      </w:r>
                      <w:proofErr w:type="gramEnd"/>
                      <w:r>
                        <w:t xml:space="preserve"> score: Urban by Wealth, CDHS 2000-2010</w:t>
                      </w:r>
                      <w:bookmarkEnd w:id="14"/>
                    </w:p>
                  </w:txbxContent>
                </v:textbox>
                <w10:wrap type="square"/>
              </v:shape>
            </w:pict>
          </mc:Fallback>
        </mc:AlternateContent>
      </w:r>
      <w:r w:rsidR="00F45A2E">
        <w:rPr>
          <w:noProof/>
        </w:rPr>
        <w:drawing>
          <wp:anchor distT="0" distB="0" distL="114300" distR="114300" simplePos="0" relativeHeight="251658240" behindDoc="0" locked="0" layoutInCell="1" allowOverlap="1" wp14:anchorId="64269337" wp14:editId="36EA990C">
            <wp:simplePos x="0" y="0"/>
            <wp:positionH relativeFrom="margin">
              <wp:posOffset>2105025</wp:posOffset>
            </wp:positionH>
            <wp:positionV relativeFrom="margin">
              <wp:posOffset>4581525</wp:posOffset>
            </wp:positionV>
            <wp:extent cx="4038600" cy="2933700"/>
            <wp:effectExtent l="0" t="0" r="19050"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A116A1">
        <w:t xml:space="preserve">In urban areas </w:t>
      </w:r>
      <w:r w:rsidR="00E24784">
        <w:t xml:space="preserve">there was an increased rate of improvement in child nutrition from 2005 to 2010. The rate of underweight decreased from 33% in 2000, to 28% in 2005, to 19% in 2010. Averaged over the entire decade this gives an annual improvement rate of 1.4 percentage </w:t>
      </w:r>
      <w:r w:rsidR="00E24784" w:rsidRPr="00E15E93">
        <w:t xml:space="preserve">points. Figure </w:t>
      </w:r>
      <w:r w:rsidR="00E15E93" w:rsidRPr="00E15E93">
        <w:t>3</w:t>
      </w:r>
      <w:r w:rsidR="00E24784">
        <w:t xml:space="preserve"> looks at child underweight trends in urban areas disaggregated by wealth. The figure shows that improvement over the last five years is not restricted to the richer wealth quintiles.</w:t>
      </w:r>
      <w:r w:rsidR="002A1E0F">
        <w:t xml:space="preserve"> It is the opposite. Improvement among the richest wealth quintile has stagnated, while the lower wealth quintiles have seen improvement. It should be noted that the nutritional status of children in the richest wealth quintile remains much better than other wealth quintiles. The richest wealth quintile is the only quintile that does not have an average less than -1, or mildly underweight. </w:t>
      </w:r>
    </w:p>
    <w:p w:rsidR="00A0756F" w:rsidRDefault="002D2072" w:rsidP="003B6A10">
      <w:r>
        <w:lastRenderedPageBreak/>
        <w:t xml:space="preserve">At the national level improvement in underweight stagnated from 2005 to 2010. </w:t>
      </w:r>
      <w:r w:rsidR="002A1E0F">
        <w:t>Disaggregating underweight trends by education, urban/rural and wealth shows that</w:t>
      </w:r>
      <w:r>
        <w:t xml:space="preserve"> worsening nutritional status of one group was not the cause of this stagnation. Rather, there was stagnation among all groups, except the lower wealth quintiles of urban areas. Improvement among these groups did not improve the national estimate because the lower wealth quintiles of urban areas are a small population; the national estimates are driven by the rural population. While not conclusive, the data suggests that stagnation in nutritional improvement is not caused by higher food prices</w:t>
      </w:r>
      <w:r w:rsidR="00FE4AA4">
        <w:t xml:space="preserve"> alone. Slowed poverty reduction, caused by higher food prices and slower economic growth, is one cause for the stagna</w:t>
      </w:r>
      <w:r w:rsidR="00137661">
        <w:t>tion in nutritional improvement, but there are others.</w:t>
      </w:r>
      <w:r w:rsidR="00FE4AA4">
        <w:t xml:space="preserve"> </w:t>
      </w:r>
      <w:r w:rsidR="009838EB">
        <w:t>H</w:t>
      </w:r>
      <w:r w:rsidR="00BB15F8">
        <w:t>igh rates of infectious disease</w:t>
      </w:r>
      <w:r>
        <w:t xml:space="preserve"> and inadequate</w:t>
      </w:r>
      <w:r w:rsidR="009838EB">
        <w:t xml:space="preserve"> maternal and</w:t>
      </w:r>
      <w:r>
        <w:t xml:space="preserve"> child </w:t>
      </w:r>
      <w:r w:rsidR="009838EB">
        <w:t>diet</w:t>
      </w:r>
      <w:r w:rsidR="00BB15F8">
        <w:t xml:space="preserve"> may</w:t>
      </w:r>
      <w:r w:rsidR="00FE4AA4">
        <w:t xml:space="preserve"> also</w:t>
      </w:r>
      <w:r w:rsidR="00BB15F8">
        <w:t xml:space="preserve"> be limiting further improvement.</w:t>
      </w:r>
      <w:r w:rsidR="009838EB">
        <w:t xml:space="preserve"> Child feeding practices have not changed for any group and it is unlikely that maternal diet has changed much either.</w:t>
      </w:r>
      <w:r w:rsidR="00FE4AA4">
        <w:t xml:space="preserve"> By 2010 toilet use became nearly universal in urban areas, while in rural areas the majority of the population does not use a toilet.</w:t>
      </w:r>
      <w:r w:rsidR="00137661">
        <w:t xml:space="preserve"> Diarrhea prevalence in urban areas is ½ that of rural areas; children in urban areas may no longer be experiencing the repeated bouts of diarrhea that cause growth faltering.</w:t>
      </w:r>
      <w:r w:rsidR="00FE4AA4">
        <w:t xml:space="preserve"> </w:t>
      </w:r>
      <w:r w:rsidR="00137661">
        <w:t>For rural areas children from households in all wealth quintiles share an environment with poor sanitation</w:t>
      </w:r>
      <w:r w:rsidR="009838EB">
        <w:t>. Changes in sanitation can help to explain stagnation among all wealth quintiles in rural areas and improvement among the lower wealth quintiles of urban areas</w:t>
      </w:r>
      <w:r w:rsidR="00137661">
        <w:t>. T</w:t>
      </w:r>
      <w:r w:rsidR="00BB15F8">
        <w:t>he wealthy in urban areas may</w:t>
      </w:r>
      <w:r w:rsidR="002A1E0F">
        <w:t xml:space="preserve"> </w:t>
      </w:r>
      <w:r w:rsidR="00BB15F8">
        <w:t>have</w:t>
      </w:r>
      <w:r w:rsidR="002A1E0F">
        <w:t xml:space="preserve"> reached the full potential of improved food security and environmental conditions</w:t>
      </w:r>
      <w:r w:rsidR="009838EB">
        <w:t xml:space="preserve"> by 2005. Inadequate maternal </w:t>
      </w:r>
      <w:r w:rsidR="00BB15F8">
        <w:t xml:space="preserve">and </w:t>
      </w:r>
      <w:r w:rsidR="002A1E0F">
        <w:t xml:space="preserve">child </w:t>
      </w:r>
      <w:r w:rsidR="009838EB">
        <w:t>diet remains a barrier to improvement in child nutrition for all wealth quintiles in both urban and rural areas, and may be the only remaining barrier for wealthy urban households.</w:t>
      </w:r>
    </w:p>
    <w:p w:rsidR="00A0756F" w:rsidRDefault="00A0756F" w:rsidP="003B6A10"/>
    <w:p w:rsidR="00A0756F" w:rsidRDefault="00A0756F" w:rsidP="003B6A10"/>
    <w:p w:rsidR="008F2CE6" w:rsidRDefault="008F2CE6" w:rsidP="003B6A10"/>
    <w:p w:rsidR="008F2CE6" w:rsidRDefault="008F2CE6" w:rsidP="003B6A10"/>
    <w:p w:rsidR="008F2CE6" w:rsidRDefault="008F2CE6" w:rsidP="003B6A10"/>
    <w:p w:rsidR="008F2CE6" w:rsidRDefault="008F2CE6" w:rsidP="003B6A10"/>
    <w:p w:rsidR="008F2CE6" w:rsidRDefault="008F2CE6" w:rsidP="003B6A10"/>
    <w:p w:rsidR="008F2CE6" w:rsidRDefault="008F2CE6" w:rsidP="003B6A10"/>
    <w:p w:rsidR="003C6D60" w:rsidRDefault="003C6D60" w:rsidP="00252325">
      <w:pPr>
        <w:sectPr w:rsidR="003C6D60" w:rsidSect="00D86E56">
          <w:type w:val="continuous"/>
          <w:pgSz w:w="12240" w:h="15840"/>
          <w:pgMar w:top="1440" w:right="1440" w:bottom="1440" w:left="1440" w:header="720" w:footer="720" w:gutter="0"/>
          <w:cols w:space="440"/>
          <w:docGrid w:linePitch="360"/>
        </w:sectPr>
      </w:pPr>
    </w:p>
    <w:p w:rsidR="003C6D60" w:rsidRDefault="00976AF8" w:rsidP="002334E8">
      <w:pPr>
        <w:pStyle w:val="Heading1"/>
      </w:pPr>
      <w:bookmarkStart w:id="15" w:name="_Toc346097184"/>
      <w:r>
        <w:rPr>
          <w:noProof/>
        </w:rPr>
        <w:lastRenderedPageBreak/>
        <mc:AlternateContent>
          <mc:Choice Requires="wps">
            <w:drawing>
              <wp:anchor distT="0" distB="0" distL="114300" distR="114300" simplePos="0" relativeHeight="251679744" behindDoc="0" locked="0" layoutInCell="1" allowOverlap="1" wp14:anchorId="60FE22B2" wp14:editId="1085EF7E">
                <wp:simplePos x="0" y="0"/>
                <wp:positionH relativeFrom="column">
                  <wp:posOffset>2200275</wp:posOffset>
                </wp:positionH>
                <wp:positionV relativeFrom="paragraph">
                  <wp:posOffset>447675</wp:posOffset>
                </wp:positionV>
                <wp:extent cx="4095750" cy="1905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4095750" cy="190500"/>
                        </a:xfrm>
                        <a:prstGeom prst="rect">
                          <a:avLst/>
                        </a:prstGeom>
                        <a:solidFill>
                          <a:prstClr val="white"/>
                        </a:solidFill>
                        <a:ln>
                          <a:noFill/>
                        </a:ln>
                        <a:effectLst/>
                      </wps:spPr>
                      <wps:txbx>
                        <w:txbxContent>
                          <w:p w:rsidR="00E56D30" w:rsidRDefault="00E56D30" w:rsidP="00976AF8">
                            <w:pPr>
                              <w:pStyle w:val="Caption"/>
                              <w:rPr>
                                <w:noProof/>
                              </w:rPr>
                            </w:pPr>
                            <w:bookmarkStart w:id="16" w:name="_Toc346097106"/>
                            <w:proofErr w:type="gramStart"/>
                            <w:r>
                              <w:t xml:space="preserve">Figure </w:t>
                            </w:r>
                            <w:r>
                              <w:fldChar w:fldCharType="begin"/>
                            </w:r>
                            <w:r>
                              <w:instrText xml:space="preserve"> SEQ Figure \* ARABIC </w:instrText>
                            </w:r>
                            <w:r>
                              <w:fldChar w:fldCharType="separate"/>
                            </w:r>
                            <w:r>
                              <w:rPr>
                                <w:noProof/>
                              </w:rPr>
                              <w:t>4</w:t>
                            </w:r>
                            <w:r>
                              <w:rPr>
                                <w:noProof/>
                              </w:rPr>
                              <w:fldChar w:fldCharType="end"/>
                            </w:r>
                            <w:r>
                              <w:t>.</w:t>
                            </w:r>
                            <w:proofErr w:type="gramEnd"/>
                            <w:r>
                              <w:t xml:space="preserve"> </w:t>
                            </w:r>
                            <w:r w:rsidRPr="00B37735">
                              <w:t>Percentage of Cambodian women age 15-49 with anemia from 2000-2010</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28" type="#_x0000_t202" style="position:absolute;margin-left:173.25pt;margin-top:35.25pt;width:322.5pt;height: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" stroked="f">
                <v:textbox inset="0,0,0,0">
                  <w:txbxContent>
                    <w:p w:rsidR="00E56D30" w:rsidRDefault="00E56D30" w:rsidP="00976AF8">
                      <w:pPr>
                        <w:pStyle w:val="Caption"/>
                        <w:rPr>
                          <w:noProof/>
                        </w:rPr>
                      </w:pPr>
                      <w:bookmarkStart w:id="17" w:name="_Toc346097106"/>
                      <w:proofErr w:type="gramStart"/>
                      <w:r>
                        <w:t xml:space="preserve">Figure </w:t>
                      </w:r>
                      <w:r>
                        <w:fldChar w:fldCharType="begin"/>
                      </w:r>
                      <w:r>
                        <w:instrText xml:space="preserve"> SEQ Figure \* ARABIC </w:instrText>
                      </w:r>
                      <w:r>
                        <w:fldChar w:fldCharType="separate"/>
                      </w:r>
                      <w:r>
                        <w:rPr>
                          <w:noProof/>
                        </w:rPr>
                        <w:t>4</w:t>
                      </w:r>
                      <w:r>
                        <w:rPr>
                          <w:noProof/>
                        </w:rPr>
                        <w:fldChar w:fldCharType="end"/>
                      </w:r>
                      <w:r>
                        <w:t>.</w:t>
                      </w:r>
                      <w:proofErr w:type="gramEnd"/>
                      <w:r>
                        <w:t xml:space="preserve"> </w:t>
                      </w:r>
                      <w:r w:rsidRPr="00B37735">
                        <w:t>Percentage of Cambodian women age 15-49 with anemia from 2000-2010</w:t>
                      </w:r>
                      <w:bookmarkEnd w:id="17"/>
                    </w:p>
                  </w:txbxContent>
                </v:textbox>
                <w10:wrap type="square"/>
              </v:shape>
            </w:pict>
          </mc:Fallback>
        </mc:AlternateContent>
      </w:r>
      <w:proofErr w:type="spellStart"/>
      <w:r w:rsidR="003C6D60">
        <w:t>Anaemia</w:t>
      </w:r>
      <w:proofErr w:type="spellEnd"/>
      <w:r w:rsidR="006B0F28">
        <w:t xml:space="preserve"> </w:t>
      </w:r>
      <w:r w:rsidR="00457BAC">
        <w:t>and I</w:t>
      </w:r>
      <w:r w:rsidR="002334E8">
        <w:t>ron Folic Acid</w:t>
      </w:r>
      <w:r w:rsidR="00457BAC">
        <w:t xml:space="preserve"> Supplementation</w:t>
      </w:r>
      <w:bookmarkEnd w:id="15"/>
    </w:p>
    <w:p w:rsidR="00F2012E" w:rsidRDefault="003D5804" w:rsidP="00F2012E">
      <w:r w:rsidRPr="00D724AF">
        <w:rPr>
          <w:noProof/>
        </w:rPr>
        <w:drawing>
          <wp:anchor distT="0" distB="0" distL="114300" distR="114300" simplePos="0" relativeHeight="251661312" behindDoc="0" locked="0" layoutInCell="1" allowOverlap="1" wp14:anchorId="05E9E1B8" wp14:editId="7884F4A1">
            <wp:simplePos x="0" y="0"/>
            <wp:positionH relativeFrom="margin">
              <wp:posOffset>2200275</wp:posOffset>
            </wp:positionH>
            <wp:positionV relativeFrom="margin">
              <wp:posOffset>638175</wp:posOffset>
            </wp:positionV>
            <wp:extent cx="4095750" cy="2686050"/>
            <wp:effectExtent l="0" t="0" r="19050" b="190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D724AF" w:rsidRDefault="00976AF8" w:rsidP="00F2012E">
      <w:r>
        <w:rPr>
          <w:noProof/>
        </w:rPr>
        <mc:AlternateContent>
          <mc:Choice Requires="wps">
            <w:drawing>
              <wp:anchor distT="0" distB="0" distL="114300" distR="114300" simplePos="0" relativeHeight="251681792" behindDoc="0" locked="0" layoutInCell="1" allowOverlap="1" wp14:anchorId="1FA9CBD0" wp14:editId="4FFC9FB0">
                <wp:simplePos x="0" y="0"/>
                <wp:positionH relativeFrom="column">
                  <wp:posOffset>2200275</wp:posOffset>
                </wp:positionH>
                <wp:positionV relativeFrom="paragraph">
                  <wp:posOffset>2917190</wp:posOffset>
                </wp:positionV>
                <wp:extent cx="409575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095750" cy="228600"/>
                        </a:xfrm>
                        <a:prstGeom prst="rect">
                          <a:avLst/>
                        </a:prstGeom>
                        <a:solidFill>
                          <a:prstClr val="white"/>
                        </a:solidFill>
                        <a:ln>
                          <a:noFill/>
                        </a:ln>
                        <a:effectLst/>
                      </wps:spPr>
                      <wps:txbx>
                        <w:txbxContent>
                          <w:p w:rsidR="00E56D30" w:rsidRDefault="00E56D30" w:rsidP="00976AF8">
                            <w:pPr>
                              <w:pStyle w:val="Caption"/>
                              <w:rPr>
                                <w:noProof/>
                              </w:rPr>
                            </w:pPr>
                            <w:bookmarkStart w:id="18" w:name="_Toc346097107"/>
                            <w:proofErr w:type="gramStart"/>
                            <w:r>
                              <w:t xml:space="preserve">Figure </w:t>
                            </w:r>
                            <w:r>
                              <w:fldChar w:fldCharType="begin"/>
                            </w:r>
                            <w:r>
                              <w:instrText xml:space="preserve"> SEQ Figure \* ARABIC </w:instrText>
                            </w:r>
                            <w:r>
                              <w:fldChar w:fldCharType="separate"/>
                            </w:r>
                            <w:r>
                              <w:rPr>
                                <w:noProof/>
                              </w:rPr>
                              <w:t>5</w:t>
                            </w:r>
                            <w:r>
                              <w:rPr>
                                <w:noProof/>
                              </w:rPr>
                              <w:fldChar w:fldCharType="end"/>
                            </w:r>
                            <w:r>
                              <w:t>.</w:t>
                            </w:r>
                            <w:proofErr w:type="gramEnd"/>
                            <w:r>
                              <w:t xml:space="preserve"> </w:t>
                            </w:r>
                            <w:r w:rsidRPr="004173D0">
                              <w:t>Maternal Anemia Trends, CDHS 2000-2010</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29" type="#_x0000_t202" style="position:absolute;margin-left:173.25pt;margin-top:229.7pt;width:322.5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" stroked="f">
                <v:textbox inset="0,0,0,0">
                  <w:txbxContent>
                    <w:p w:rsidR="00E56D30" w:rsidRDefault="00E56D30" w:rsidP="00976AF8">
                      <w:pPr>
                        <w:pStyle w:val="Caption"/>
                        <w:rPr>
                          <w:noProof/>
                        </w:rPr>
                      </w:pPr>
                      <w:bookmarkStart w:id="19" w:name="_Toc346097107"/>
                      <w:proofErr w:type="gramStart"/>
                      <w:r>
                        <w:t xml:space="preserve">Figure </w:t>
                      </w:r>
                      <w:r>
                        <w:fldChar w:fldCharType="begin"/>
                      </w:r>
                      <w:r>
                        <w:instrText xml:space="preserve"> SEQ Figure \* ARABIC </w:instrText>
                      </w:r>
                      <w:r>
                        <w:fldChar w:fldCharType="separate"/>
                      </w:r>
                      <w:r>
                        <w:rPr>
                          <w:noProof/>
                        </w:rPr>
                        <w:t>5</w:t>
                      </w:r>
                      <w:r>
                        <w:rPr>
                          <w:noProof/>
                        </w:rPr>
                        <w:fldChar w:fldCharType="end"/>
                      </w:r>
                      <w:r>
                        <w:t>.</w:t>
                      </w:r>
                      <w:proofErr w:type="gramEnd"/>
                      <w:r>
                        <w:t xml:space="preserve"> </w:t>
                      </w:r>
                      <w:r w:rsidRPr="004173D0">
                        <w:t>Maternal Anemia Trends, CDHS 2000-2010</w:t>
                      </w:r>
                      <w:bookmarkEnd w:id="19"/>
                    </w:p>
                  </w:txbxContent>
                </v:textbox>
                <w10:wrap type="square"/>
              </v:shape>
            </w:pict>
          </mc:Fallback>
        </mc:AlternateContent>
      </w:r>
      <w:r>
        <w:rPr>
          <w:noProof/>
        </w:rPr>
        <w:drawing>
          <wp:anchor distT="0" distB="0" distL="114300" distR="114300" simplePos="0" relativeHeight="251660288" behindDoc="0" locked="0" layoutInCell="1" allowOverlap="1" wp14:anchorId="2986F476" wp14:editId="395D1E52">
            <wp:simplePos x="0" y="0"/>
            <wp:positionH relativeFrom="margin">
              <wp:posOffset>2200275</wp:posOffset>
            </wp:positionH>
            <wp:positionV relativeFrom="margin">
              <wp:posOffset>3933825</wp:posOffset>
            </wp:positionV>
            <wp:extent cx="4095750" cy="2962275"/>
            <wp:effectExtent l="0" t="0" r="19050" b="9525"/>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17EB7">
        <w:t>From 2000 to 2005 there w</w:t>
      </w:r>
      <w:r w:rsidR="00DA60DF">
        <w:t>as a</w:t>
      </w:r>
      <w:r w:rsidR="00D17EB7">
        <w:t xml:space="preserve"> nine percentage point drop in anemia in pregnant</w:t>
      </w:r>
      <w:r w:rsidR="00DA60DF">
        <w:t xml:space="preserve"> women</w:t>
      </w:r>
      <w:r w:rsidR="00D17EB7">
        <w:t xml:space="preserve"> and </w:t>
      </w:r>
      <w:r w:rsidR="00DA60DF">
        <w:t xml:space="preserve">a twelve percentage point drop in anemia </w:t>
      </w:r>
      <w:r w:rsidR="00F45A2E">
        <w:t>among</w:t>
      </w:r>
      <w:r w:rsidR="00DA60DF">
        <w:t xml:space="preserve"> </w:t>
      </w:r>
      <w:r w:rsidR="00D17EB7">
        <w:t xml:space="preserve">breastfeeding women. These </w:t>
      </w:r>
      <w:r w:rsidR="00F45A2E">
        <w:t xml:space="preserve">large </w:t>
      </w:r>
      <w:r w:rsidR="00D17EB7">
        <w:t xml:space="preserve">improvements mirrored anemia reduction in women of reproductive age, which declined by eleven percentage </w:t>
      </w:r>
      <w:r w:rsidR="00D17EB7" w:rsidRPr="00E15E93">
        <w:t>points</w:t>
      </w:r>
      <w:r w:rsidR="00D724AF" w:rsidRPr="00E15E93">
        <w:t xml:space="preserve"> (Figure </w:t>
      </w:r>
      <w:r w:rsidR="00E15E93" w:rsidRPr="00E15E93">
        <w:t>4</w:t>
      </w:r>
      <w:r w:rsidR="00D724AF" w:rsidRPr="00E15E93">
        <w:t>)</w:t>
      </w:r>
      <w:r w:rsidR="00D17EB7" w:rsidRPr="00E15E93">
        <w:t>.</w:t>
      </w:r>
      <w:r w:rsidR="00D17EB7">
        <w:t xml:space="preserve"> </w:t>
      </w:r>
      <w:r w:rsidR="00115B5F">
        <w:t xml:space="preserve">The similar improvement among all groups and the lack of a large scale anemia reduction </w:t>
      </w:r>
      <w:proofErr w:type="spellStart"/>
      <w:r w:rsidR="00115B5F">
        <w:t>programme</w:t>
      </w:r>
      <w:proofErr w:type="spellEnd"/>
      <w:r w:rsidR="00115B5F">
        <w:t xml:space="preserve"> suggests that improvement was caused by </w:t>
      </w:r>
      <w:r w:rsidR="00F45A2E">
        <w:t xml:space="preserve">the effect of </w:t>
      </w:r>
      <w:r w:rsidR="00115B5F">
        <w:t>general economic development</w:t>
      </w:r>
      <w:r w:rsidR="00F45A2E">
        <w:t xml:space="preserve"> on diet and disease</w:t>
      </w:r>
      <w:r w:rsidR="00115B5F">
        <w:t>.</w:t>
      </w:r>
    </w:p>
    <w:p w:rsidR="00D17EB7" w:rsidRDefault="00D17EB7" w:rsidP="00F2012E">
      <w:r>
        <w:t>From 2005 to 2010 there was no</w:t>
      </w:r>
      <w:r w:rsidR="003D5804">
        <w:t xml:space="preserve"> significant</w:t>
      </w:r>
      <w:r>
        <w:t xml:space="preserve"> improvement in anemia in women of reproductive age</w:t>
      </w:r>
      <w:r w:rsidR="003D5804">
        <w:t xml:space="preserve"> </w:t>
      </w:r>
      <w:r w:rsidR="003D5804" w:rsidRPr="00E15E93">
        <w:t xml:space="preserve">(Figure </w:t>
      </w:r>
      <w:r w:rsidR="00E15E93" w:rsidRPr="00E15E93">
        <w:t>5</w:t>
      </w:r>
      <w:r w:rsidR="003D5804" w:rsidRPr="00E15E93">
        <w:t>)</w:t>
      </w:r>
      <w:r w:rsidRPr="00E15E93">
        <w:t>, but improvement did continue for pregnant and postpartum women</w:t>
      </w:r>
      <w:r w:rsidR="003D5804" w:rsidRPr="00E15E93">
        <w:t xml:space="preserve"> (Figure </w:t>
      </w:r>
      <w:r w:rsidR="00E15E93" w:rsidRPr="00E15E93">
        <w:t>5</w:t>
      </w:r>
      <w:r w:rsidR="003D5804">
        <w:t>)</w:t>
      </w:r>
      <w:r>
        <w:t xml:space="preserve">. For pregnant women anemia declined by four percentage points, and for breastfeeding women anemia declined by </w:t>
      </w:r>
      <w:r w:rsidR="00DA60DF">
        <w:t>seven percentage points</w:t>
      </w:r>
      <w:r w:rsidR="00260FD4">
        <w:t xml:space="preserve"> from 2005 to 2010</w:t>
      </w:r>
      <w:r w:rsidR="00DA60DF">
        <w:t>.</w:t>
      </w:r>
      <w:r w:rsidR="00115B5F">
        <w:t xml:space="preserve"> The continued improvement occurred after large increases in the coverage of IFA supplementation and deworming for pregnant and postpartum women.</w:t>
      </w:r>
      <w:r w:rsidR="00F45A2E">
        <w:t xml:space="preserve"> Anemia improvement among breastfeeding and pregnant women and the lack of improvement in the broader population of women of reproductive age suggests that the IFA supplementation </w:t>
      </w:r>
      <w:proofErr w:type="spellStart"/>
      <w:r w:rsidR="00F45A2E">
        <w:t>programme</w:t>
      </w:r>
      <w:proofErr w:type="spellEnd"/>
      <w:r w:rsidR="00F45A2E">
        <w:t xml:space="preserve"> is having a positive impact.</w:t>
      </w:r>
      <w:r>
        <w:t xml:space="preserve">  </w:t>
      </w:r>
    </w:p>
    <w:p w:rsidR="004C6E00" w:rsidRDefault="00F45A2E" w:rsidP="00F2012E">
      <w:r>
        <w:t>In order to further test the effectiveness of IFA supplementation</w:t>
      </w:r>
      <w:r w:rsidR="00FE0E1F">
        <w:t>, bivariate analyse</w:t>
      </w:r>
      <w:r>
        <w:t>s of postpartum supplementation by hemoglobin and postpartum supplementation by anemia status w</w:t>
      </w:r>
      <w:r w:rsidR="00FE0E1F">
        <w:t>ere</w:t>
      </w:r>
      <w:r>
        <w:t xml:space="preserve"> carried out</w:t>
      </w:r>
      <w:r w:rsidR="004C6E00">
        <w:t xml:space="preserve"> </w:t>
      </w:r>
      <w:r w:rsidR="004C6E00" w:rsidRPr="00E15E93">
        <w:t xml:space="preserve">(Tables </w:t>
      </w:r>
      <w:r w:rsidR="00E15E93" w:rsidRPr="00E15E93">
        <w:t>4 and 5</w:t>
      </w:r>
      <w:r w:rsidR="004C6E00">
        <w:t>)</w:t>
      </w:r>
      <w:r>
        <w:t xml:space="preserve">. The analysis includes women age 15-49 that had given birth within the last six months. </w:t>
      </w:r>
      <w:r>
        <w:lastRenderedPageBreak/>
        <w:t xml:space="preserve">There is a statistically significant difference between those who did and did not receive supplementation with respect to both hemoglobin and anemia prevalence. For hemoglobin </w:t>
      </w:r>
      <w:r w:rsidR="0017225E">
        <w:t xml:space="preserve">the supplemented group had </w:t>
      </w:r>
    </w:p>
    <w:p w:rsidR="00976AF8" w:rsidRDefault="00976AF8" w:rsidP="00976AF8">
      <w:pPr>
        <w:pStyle w:val="Caption"/>
        <w:keepNext/>
      </w:pPr>
      <w:bookmarkStart w:id="20" w:name="_Toc346097133"/>
      <w:proofErr w:type="gramStart"/>
      <w:r>
        <w:t xml:space="preserve">Table </w:t>
      </w:r>
      <w:proofErr w:type="gramEnd"/>
      <w:r w:rsidR="00E56D30">
        <w:fldChar w:fldCharType="begin"/>
      </w:r>
      <w:r w:rsidR="00E56D30">
        <w:instrText xml:space="preserve"> SEQ Table \* ARABIC </w:instrText>
      </w:r>
      <w:r w:rsidR="00E56D30">
        <w:fldChar w:fldCharType="separate"/>
      </w:r>
      <w:r w:rsidR="00E56D30">
        <w:rPr>
          <w:noProof/>
        </w:rPr>
        <w:t>4</w:t>
      </w:r>
      <w:r w:rsidR="00E56D30">
        <w:rPr>
          <w:noProof/>
        </w:rPr>
        <w:fldChar w:fldCharType="end"/>
      </w:r>
      <w:proofErr w:type="gramStart"/>
      <w:r>
        <w:t>.</w:t>
      </w:r>
      <w:proofErr w:type="gramEnd"/>
      <w:r>
        <w:t xml:space="preserve"> Hemoglobin by postpartum iron folic acid supplementation among women delivering within the last six months CDHS 2010</w:t>
      </w:r>
      <w:bookmarkEnd w:id="20"/>
    </w:p>
    <w:tbl>
      <w:tblPr>
        <w:tblpPr w:leftFromText="180" w:rightFromText="180" w:vertAnchor="text" w:horzAnchor="page" w:tblpX="1873" w:tblpY="40"/>
        <w:tblW w:w="6022" w:type="dxa"/>
        <w:tblLook w:val="04A0" w:firstRow="1" w:lastRow="0" w:firstColumn="1" w:lastColumn="0" w:noHBand="0" w:noVBand="1"/>
      </w:tblPr>
      <w:tblGrid>
        <w:gridCol w:w="1520"/>
        <w:gridCol w:w="1180"/>
        <w:gridCol w:w="1180"/>
        <w:gridCol w:w="222"/>
        <w:gridCol w:w="960"/>
        <w:gridCol w:w="960"/>
      </w:tblGrid>
      <w:tr w:rsidR="00976AF8" w:rsidRPr="00B23F34" w:rsidTr="00976AF8">
        <w:trPr>
          <w:trHeight w:val="240"/>
        </w:trPr>
        <w:tc>
          <w:tcPr>
            <w:tcW w:w="1520" w:type="dxa"/>
            <w:tcBorders>
              <w:top w:val="single" w:sz="4" w:space="0" w:color="auto"/>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Post-partum iron</w:t>
            </w:r>
          </w:p>
        </w:tc>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roofErr w:type="spellStart"/>
            <w:r w:rsidRPr="00B23F34">
              <w:rPr>
                <w:rFonts w:ascii="Calibri" w:eastAsia="Times New Roman" w:hAnsi="Calibri" w:cs="Times New Roman"/>
                <w:color w:val="000000"/>
                <w:sz w:val="18"/>
                <w:szCs w:val="18"/>
              </w:rPr>
              <w:t>Hb</w:t>
            </w:r>
            <w:proofErr w:type="spellEnd"/>
            <w:r w:rsidRPr="00B23F34">
              <w:rPr>
                <w:rFonts w:ascii="Calibri" w:eastAsia="Times New Roman" w:hAnsi="Calibri" w:cs="Times New Roman"/>
                <w:color w:val="000000"/>
                <w:sz w:val="18"/>
                <w:szCs w:val="18"/>
              </w:rPr>
              <w:t xml:space="preserve"> (g/</w:t>
            </w:r>
            <w:proofErr w:type="spellStart"/>
            <w:r w:rsidRPr="00B23F34">
              <w:rPr>
                <w:rFonts w:ascii="Calibri" w:eastAsia="Times New Roman" w:hAnsi="Calibri" w:cs="Times New Roman"/>
                <w:color w:val="000000"/>
                <w:sz w:val="18"/>
                <w:szCs w:val="18"/>
              </w:rPr>
              <w:t>dL</w:t>
            </w:r>
            <w:proofErr w:type="spellEnd"/>
            <w:r w:rsidRPr="00B23F34">
              <w:rPr>
                <w:rFonts w:ascii="Calibri" w:eastAsia="Times New Roman" w:hAnsi="Calibri" w:cs="Times New Roman"/>
                <w:color w:val="000000"/>
                <w:sz w:val="18"/>
                <w:szCs w:val="18"/>
              </w:rPr>
              <w:t>)</w:t>
            </w:r>
          </w:p>
        </w:tc>
        <w:tc>
          <w:tcPr>
            <w:tcW w:w="1180" w:type="dxa"/>
            <w:tcBorders>
              <w:top w:val="single" w:sz="4" w:space="0" w:color="auto"/>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N</w:t>
            </w:r>
          </w:p>
        </w:tc>
        <w:tc>
          <w:tcPr>
            <w:tcW w:w="222" w:type="dxa"/>
            <w:tcBorders>
              <w:top w:val="single" w:sz="4" w:space="0" w:color="auto"/>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single" w:sz="4" w:space="0" w:color="auto"/>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F-stat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roofErr w:type="spellStart"/>
            <w:r w:rsidRPr="00B23F34">
              <w:rPr>
                <w:rFonts w:ascii="Calibri" w:eastAsia="Times New Roman" w:hAnsi="Calibri" w:cs="Times New Roman"/>
                <w:color w:val="000000"/>
                <w:sz w:val="18"/>
                <w:szCs w:val="18"/>
              </w:rPr>
              <w:t>prob</w:t>
            </w:r>
            <w:proofErr w:type="spellEnd"/>
            <w:r w:rsidRPr="00B23F34">
              <w:rPr>
                <w:rFonts w:ascii="Calibri" w:eastAsia="Times New Roman" w:hAnsi="Calibri" w:cs="Times New Roman"/>
                <w:color w:val="000000"/>
                <w:sz w:val="18"/>
                <w:szCs w:val="18"/>
              </w:rPr>
              <w:t>&gt;F</w:t>
            </w: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Yes</w:t>
            </w:r>
          </w:p>
        </w:tc>
        <w:tc>
          <w:tcPr>
            <w:tcW w:w="118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12.08</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167</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9.69</w:t>
            </w: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0.002</w:t>
            </w:r>
          </w:p>
        </w:tc>
      </w:tr>
      <w:tr w:rsidR="00976AF8" w:rsidRPr="00B23F34" w:rsidTr="00976AF8">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No</w:t>
            </w:r>
          </w:p>
        </w:tc>
        <w:tc>
          <w:tcPr>
            <w:tcW w:w="118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11.62</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185</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Total</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11.86</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352</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Diff:</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0.463</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222"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bl>
    <w:p w:rsidR="00976AF8" w:rsidRDefault="00976AF8" w:rsidP="00F2012E"/>
    <w:p w:rsidR="00976AF8" w:rsidRDefault="00976AF8" w:rsidP="00F2012E"/>
    <w:p w:rsidR="00976AF8" w:rsidRDefault="00976AF8" w:rsidP="00F2012E"/>
    <w:p w:rsidR="00976AF8" w:rsidRDefault="00976AF8" w:rsidP="00F2012E"/>
    <w:p w:rsidR="00976AF8" w:rsidRDefault="00976AF8" w:rsidP="00976AF8">
      <w:pPr>
        <w:pStyle w:val="Caption"/>
        <w:keepNext/>
      </w:pPr>
      <w:bookmarkStart w:id="21" w:name="_Toc346097134"/>
      <w:proofErr w:type="gramStart"/>
      <w:r>
        <w:t xml:space="preserve">Table </w:t>
      </w:r>
      <w:proofErr w:type="gramEnd"/>
      <w:r w:rsidR="00E56D30">
        <w:fldChar w:fldCharType="begin"/>
      </w:r>
      <w:r w:rsidR="00E56D30">
        <w:instrText xml:space="preserve"> SEQ Table \* ARABIC </w:instrText>
      </w:r>
      <w:r w:rsidR="00E56D30">
        <w:fldChar w:fldCharType="separate"/>
      </w:r>
      <w:r w:rsidR="00E56D30">
        <w:rPr>
          <w:noProof/>
        </w:rPr>
        <w:t>5</w:t>
      </w:r>
      <w:r w:rsidR="00E56D30">
        <w:rPr>
          <w:noProof/>
        </w:rPr>
        <w:fldChar w:fldCharType="end"/>
      </w:r>
      <w:proofErr w:type="gramStart"/>
      <w:r>
        <w:t>.</w:t>
      </w:r>
      <w:proofErr w:type="gramEnd"/>
      <w:r>
        <w:t xml:space="preserve"> Anemia by postpartum iron folic acid supplementation among women delivering </w:t>
      </w:r>
      <w:proofErr w:type="spellStart"/>
      <w:r>
        <w:t>withing</w:t>
      </w:r>
      <w:proofErr w:type="spellEnd"/>
      <w:r>
        <w:t xml:space="preserve"> the last six months, CDHS 2010</w:t>
      </w:r>
      <w:bookmarkEnd w:id="21"/>
    </w:p>
    <w:tbl>
      <w:tblPr>
        <w:tblpPr w:leftFromText="180" w:rightFromText="180" w:vertAnchor="text" w:horzAnchor="page" w:tblpX="2068" w:tblpY="60"/>
        <w:tblW w:w="6022" w:type="dxa"/>
        <w:tblLook w:val="04A0" w:firstRow="1" w:lastRow="0" w:firstColumn="1" w:lastColumn="0" w:noHBand="0" w:noVBand="1"/>
      </w:tblPr>
      <w:tblGrid>
        <w:gridCol w:w="1520"/>
        <w:gridCol w:w="1180"/>
        <w:gridCol w:w="1180"/>
        <w:gridCol w:w="222"/>
        <w:gridCol w:w="960"/>
        <w:gridCol w:w="960"/>
      </w:tblGrid>
      <w:tr w:rsidR="00976AF8" w:rsidRPr="00B23F34" w:rsidTr="00976AF8">
        <w:trPr>
          <w:trHeight w:val="240"/>
        </w:trPr>
        <w:tc>
          <w:tcPr>
            <w:tcW w:w="1520" w:type="dxa"/>
            <w:tcBorders>
              <w:top w:val="single" w:sz="4" w:space="0" w:color="auto"/>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Post-partum iron</w:t>
            </w:r>
          </w:p>
        </w:tc>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roofErr w:type="spellStart"/>
            <w:r w:rsidRPr="00B23F34">
              <w:rPr>
                <w:rFonts w:ascii="Calibri" w:eastAsia="Times New Roman" w:hAnsi="Calibri" w:cs="Times New Roman"/>
                <w:color w:val="000000"/>
                <w:sz w:val="18"/>
                <w:szCs w:val="18"/>
              </w:rPr>
              <w:t>Anaemia</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N</w:t>
            </w:r>
          </w:p>
        </w:tc>
        <w:tc>
          <w:tcPr>
            <w:tcW w:w="222" w:type="dxa"/>
            <w:tcBorders>
              <w:top w:val="single" w:sz="4" w:space="0" w:color="auto"/>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single" w:sz="4" w:space="0" w:color="auto"/>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F-stat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roofErr w:type="spellStart"/>
            <w:r w:rsidRPr="00B23F34">
              <w:rPr>
                <w:rFonts w:ascii="Calibri" w:eastAsia="Times New Roman" w:hAnsi="Calibri" w:cs="Times New Roman"/>
                <w:color w:val="000000"/>
                <w:sz w:val="18"/>
                <w:szCs w:val="18"/>
              </w:rPr>
              <w:t>prob</w:t>
            </w:r>
            <w:proofErr w:type="spellEnd"/>
            <w:r w:rsidRPr="00B23F34">
              <w:rPr>
                <w:rFonts w:ascii="Calibri" w:eastAsia="Times New Roman" w:hAnsi="Calibri" w:cs="Times New Roman"/>
                <w:color w:val="000000"/>
                <w:sz w:val="18"/>
                <w:szCs w:val="18"/>
              </w:rPr>
              <w:t>&gt;F</w:t>
            </w: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Yes</w:t>
            </w:r>
          </w:p>
        </w:tc>
        <w:tc>
          <w:tcPr>
            <w:tcW w:w="118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0.462</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168</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5.76</w:t>
            </w: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0.017</w:t>
            </w:r>
          </w:p>
        </w:tc>
      </w:tr>
      <w:tr w:rsidR="00976AF8" w:rsidRPr="00B23F34" w:rsidTr="00976AF8">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No</w:t>
            </w:r>
          </w:p>
        </w:tc>
        <w:tc>
          <w:tcPr>
            <w:tcW w:w="118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0.589</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186</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Total</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0.523</w:t>
            </w: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354</w:t>
            </w: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r w:rsidR="00976AF8" w:rsidRPr="00B23F34" w:rsidTr="00976AF8">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Diff:</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r w:rsidRPr="00B23F34">
              <w:rPr>
                <w:rFonts w:ascii="Calibri" w:eastAsia="Times New Roman" w:hAnsi="Calibri" w:cs="Times New Roman"/>
                <w:color w:val="000000"/>
                <w:sz w:val="18"/>
                <w:szCs w:val="18"/>
              </w:rPr>
              <w:t>-0.127</w:t>
            </w:r>
          </w:p>
        </w:tc>
        <w:tc>
          <w:tcPr>
            <w:tcW w:w="118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222"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rPr>
                <w:rFonts w:ascii="Calibri" w:eastAsia="Times New Roman" w:hAnsi="Calibri"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976AF8" w:rsidRPr="00B23F34" w:rsidRDefault="00976AF8" w:rsidP="00976AF8">
            <w:pPr>
              <w:spacing w:after="0" w:line="240" w:lineRule="auto"/>
              <w:jc w:val="center"/>
              <w:rPr>
                <w:rFonts w:ascii="Calibri" w:eastAsia="Times New Roman" w:hAnsi="Calibri" w:cs="Times New Roman"/>
                <w:color w:val="000000"/>
                <w:sz w:val="18"/>
                <w:szCs w:val="18"/>
              </w:rPr>
            </w:pPr>
          </w:p>
        </w:tc>
      </w:tr>
    </w:tbl>
    <w:p w:rsidR="00976AF8" w:rsidRDefault="00976AF8" w:rsidP="00F2012E"/>
    <w:p w:rsidR="00976AF8" w:rsidRDefault="00976AF8" w:rsidP="00F2012E"/>
    <w:p w:rsidR="00976AF8" w:rsidRDefault="00976AF8" w:rsidP="00F2012E"/>
    <w:p w:rsidR="00976AF8" w:rsidRDefault="00976AF8" w:rsidP="00F2012E"/>
    <w:p w:rsidR="002236AF" w:rsidRDefault="0017225E" w:rsidP="00F2012E">
      <w:proofErr w:type="gramStart"/>
      <w:r>
        <w:t>levels</w:t>
      </w:r>
      <w:proofErr w:type="gramEnd"/>
      <w:r>
        <w:t xml:space="preserve"> .46 g/</w:t>
      </w:r>
      <w:proofErr w:type="spellStart"/>
      <w:r>
        <w:t>dL</w:t>
      </w:r>
      <w:proofErr w:type="spellEnd"/>
      <w:r>
        <w:t xml:space="preserve"> higher than the non-supplemented group. This difference in hemoglobin corresponds to a 12.7 percentage point difference in </w:t>
      </w:r>
      <w:proofErr w:type="spellStart"/>
      <w:r>
        <w:t>anaemia</w:t>
      </w:r>
      <w:proofErr w:type="spellEnd"/>
      <w:r>
        <w:t xml:space="preserve"> rates. Women that do not receive supplementation are 1.27 times more likely to be anemic when compared to women that do receive supplementation.</w:t>
      </w:r>
      <w:r w:rsidR="00FE0E1F">
        <w:t xml:space="preserve"> </w:t>
      </w:r>
    </w:p>
    <w:p w:rsidR="00F2012E" w:rsidRDefault="00FE0E1F" w:rsidP="00F2012E">
      <w:r>
        <w:t>A 2009 Cochrane review found that at one month postpartum the average difference between supplemented and non-supplemented</w:t>
      </w:r>
      <w:r w:rsidR="00236D7E">
        <w:t xml:space="preserve"> with iron alone</w:t>
      </w:r>
      <w:r>
        <w:t xml:space="preserve"> was </w:t>
      </w:r>
      <w:r w:rsidR="002236AF">
        <w:t>.07 g/</w:t>
      </w:r>
      <w:proofErr w:type="spellStart"/>
      <w:r w:rsidR="002236AF">
        <w:t>dL</w:t>
      </w:r>
      <w:proofErr w:type="spellEnd"/>
      <w:r w:rsidR="002236AF">
        <w:t>; the range of differences in the six included studies was .04 g/</w:t>
      </w:r>
      <w:proofErr w:type="spellStart"/>
      <w:r w:rsidR="002236AF">
        <w:t>dL</w:t>
      </w:r>
      <w:proofErr w:type="spellEnd"/>
      <w:r w:rsidR="002236AF">
        <w:t xml:space="preserve"> to .14 g/</w:t>
      </w:r>
      <w:proofErr w:type="spellStart"/>
      <w:r w:rsidR="002236AF">
        <w:t>dL</w:t>
      </w:r>
      <w:proofErr w:type="spellEnd"/>
      <w:sdt>
        <w:sdtPr>
          <w:id w:val="-1469593903"/>
          <w:citation/>
        </w:sdtPr>
        <w:sdtContent>
          <w:r w:rsidR="000A223A">
            <w:fldChar w:fldCharType="begin"/>
          </w:r>
          <w:r w:rsidR="000A223A">
            <w:instrText xml:space="preserve"> CITATION Pen09 \l 1033 </w:instrText>
          </w:r>
          <w:r w:rsidR="000A223A">
            <w:fldChar w:fldCharType="separate"/>
          </w:r>
          <w:r w:rsidR="008C6692">
            <w:rPr>
              <w:noProof/>
            </w:rPr>
            <w:t xml:space="preserve"> (Pena Rosas JP)</w:t>
          </w:r>
          <w:r w:rsidR="000A223A">
            <w:fldChar w:fldCharType="end"/>
          </w:r>
        </w:sdtContent>
      </w:sdt>
      <w:r w:rsidR="002236AF">
        <w:t>.</w:t>
      </w:r>
      <w:r w:rsidR="00236D7E">
        <w:t xml:space="preserve"> The one study included in the review that looked at postpartum hemoglobin after iron and folic acid supplementation found a difference of .10. </w:t>
      </w:r>
      <w:r w:rsidR="0017225E">
        <w:t xml:space="preserve"> </w:t>
      </w:r>
      <w:r w:rsidR="004C6E00">
        <w:t>Although not completely comparable because this analysis of CDHS data cannot follow the methodology of the studies included in the Cochrane Review, comparing the .46 g/</w:t>
      </w:r>
      <w:proofErr w:type="spellStart"/>
      <w:r w:rsidR="004C6E00">
        <w:t>dL</w:t>
      </w:r>
      <w:proofErr w:type="spellEnd"/>
      <w:r w:rsidR="004C6E00">
        <w:t xml:space="preserve"> difference in Cambodia to the average effect</w:t>
      </w:r>
      <w:r w:rsidR="00236D7E">
        <w:t>s</w:t>
      </w:r>
      <w:r w:rsidR="004C6E00">
        <w:t xml:space="preserve"> in the Cochrane Review gives an indication that there is a large impact of IFA supplementation in Cambodia. Some of this effect could be the result of not controlling for covariates, but this is unlikely to be a major factor as IFA supplementation is very equitable. There is no difference in the coverage of IFA supplementation between the richest and poorest wealth quintiles. </w:t>
      </w:r>
      <w:r w:rsidR="00F45A2E">
        <w:t xml:space="preserve">  </w:t>
      </w:r>
    </w:p>
    <w:p w:rsidR="00D724AF" w:rsidRDefault="008863B0" w:rsidP="00F2012E">
      <w:r>
        <w:t xml:space="preserve">This analysis provides the first national evidence on the effectiveness of the IFA supplementation </w:t>
      </w:r>
      <w:proofErr w:type="spellStart"/>
      <w:r>
        <w:t>programme</w:t>
      </w:r>
      <w:proofErr w:type="spellEnd"/>
      <w:r>
        <w:t xml:space="preserve"> in Cambodia. It is not a comprehensive evaluation, but it does provide moderately strong evidence that the IFA supplementation </w:t>
      </w:r>
      <w:proofErr w:type="spellStart"/>
      <w:r>
        <w:t>programme</w:t>
      </w:r>
      <w:proofErr w:type="spellEnd"/>
      <w:r>
        <w:t xml:space="preserve"> is reducing anemia levels during pregnancy and postpartum. </w:t>
      </w:r>
      <w:r w:rsidR="005C1F80">
        <w:t>The 2009 Cochrane Review concludes that reducing anemia during pregnancy with IFA supplementation does reduce the chance of having a “small for gestational age” baby, and on average will increase birth weight by 57.7g and birth length by</w:t>
      </w:r>
      <w:r w:rsidR="00236D7E">
        <w:t xml:space="preserve"> .38cm</w:t>
      </w:r>
      <w:r w:rsidR="005C1F80">
        <w:t xml:space="preserve">. The intervention </w:t>
      </w:r>
      <w:r w:rsidR="00B87B84">
        <w:t>is</w:t>
      </w:r>
      <w:r w:rsidR="005C1F80">
        <w:t xml:space="preserve"> likely contribut</w:t>
      </w:r>
      <w:r w:rsidR="00B87B84">
        <w:t>ing</w:t>
      </w:r>
      <w:r w:rsidR="005C1F80">
        <w:t xml:space="preserve"> to a reduction in low birth weight and </w:t>
      </w:r>
      <w:r w:rsidR="00B87B84">
        <w:t xml:space="preserve">decreased anemia in the first six months, but this impact cannot yet </w:t>
      </w:r>
      <w:r w:rsidR="00B87B84">
        <w:lastRenderedPageBreak/>
        <w:t>be seen in the data</w:t>
      </w:r>
      <w:r w:rsidR="005C1F80">
        <w:t>.</w:t>
      </w:r>
      <w:r w:rsidR="00B87B84">
        <w:t xml:space="preserve"> Anemia is only measured for children older than six months and </w:t>
      </w:r>
      <w:proofErr w:type="spellStart"/>
      <w:r w:rsidR="00B87B84">
        <w:t>birthweight</w:t>
      </w:r>
      <w:proofErr w:type="spellEnd"/>
      <w:r w:rsidR="00B87B84">
        <w:t xml:space="preserve"> trend analysis is made difficult by large increases in the percentage of children being measured at birth. </w:t>
      </w:r>
      <w:r w:rsidR="005C1F80">
        <w:t>When data is available from the 2014/5 CDHS IFA supplementation should be nearly reaching universal coverage; at that time a comprehensive evaluation that includes multivariate analysis</w:t>
      </w:r>
      <w:r w:rsidR="00091037">
        <w:t xml:space="preserve">, </w:t>
      </w:r>
      <w:r w:rsidR="005C1F80">
        <w:t>additional anthropometric outcomes</w:t>
      </w:r>
      <w:r w:rsidR="00091037">
        <w:t>, and information on duration/dosage</w:t>
      </w:r>
      <w:r w:rsidR="005C1F80">
        <w:t xml:space="preserve"> should be carried out.</w:t>
      </w:r>
      <w:r w:rsidR="00091037">
        <w:t xml:space="preserve"> Duration and dosage is an important area for further research in Cambodia because domestic policy does not follow international recommendations</w:t>
      </w:r>
      <w:sdt>
        <w:sdtPr>
          <w:id w:val="1971316116"/>
          <w:citation/>
        </w:sdtPr>
        <w:sdtContent>
          <w:r w:rsidR="000A223A">
            <w:fldChar w:fldCharType="begin"/>
          </w:r>
          <w:r w:rsidR="000A223A">
            <w:instrText xml:space="preserve"> CITATION Nat11 \l 1033 </w:instrText>
          </w:r>
          <w:r w:rsidR="000A223A">
            <w:fldChar w:fldCharType="separate"/>
          </w:r>
          <w:r w:rsidR="008C6692">
            <w:rPr>
              <w:noProof/>
            </w:rPr>
            <w:t xml:space="preserve"> (National Nutrition Programme)</w:t>
          </w:r>
          <w:r w:rsidR="000A223A">
            <w:fldChar w:fldCharType="end"/>
          </w:r>
        </w:sdtContent>
      </w:sdt>
      <w:sdt>
        <w:sdtPr>
          <w:id w:val="8194705"/>
          <w:citation/>
        </w:sdtPr>
        <w:sdtContent>
          <w:r w:rsidR="000A223A">
            <w:fldChar w:fldCharType="begin"/>
          </w:r>
          <w:r w:rsidR="000A223A">
            <w:instrText xml:space="preserve"> CITATION Sto05 \l 1033 </w:instrText>
          </w:r>
          <w:r w:rsidR="000A223A">
            <w:fldChar w:fldCharType="separate"/>
          </w:r>
          <w:r w:rsidR="008C6692">
            <w:rPr>
              <w:noProof/>
            </w:rPr>
            <w:t xml:space="preserve"> (Stoltzfus)</w:t>
          </w:r>
          <w:r w:rsidR="000A223A">
            <w:fldChar w:fldCharType="end"/>
          </w:r>
        </w:sdtContent>
      </w:sdt>
      <w:r w:rsidR="00091037">
        <w:t xml:space="preserve">.  </w:t>
      </w:r>
    </w:p>
    <w:p w:rsidR="00D724AF" w:rsidRDefault="00D724AF" w:rsidP="00F2012E"/>
    <w:p w:rsidR="00D724AF" w:rsidRDefault="00D724AF" w:rsidP="00F2012E"/>
    <w:p w:rsidR="00D724AF" w:rsidRDefault="00D724AF" w:rsidP="00F2012E"/>
    <w:p w:rsidR="00C867FF" w:rsidRPr="00F2012E" w:rsidRDefault="00C867FF" w:rsidP="00F2012E"/>
    <w:p w:rsidR="00D62AC0" w:rsidRDefault="00D62AC0">
      <w:r>
        <w:br w:type="page"/>
      </w:r>
    </w:p>
    <w:p w:rsidR="003456A8" w:rsidRPr="003456A8" w:rsidRDefault="003456A8" w:rsidP="003456A8">
      <w:pPr>
        <w:pStyle w:val="Heading1"/>
      </w:pPr>
      <w:bookmarkStart w:id="22" w:name="_Toc346097185"/>
      <w:r>
        <w:lastRenderedPageBreak/>
        <w:t>Infant and Young Child Feeding</w:t>
      </w:r>
      <w:bookmarkEnd w:id="22"/>
    </w:p>
    <w:p w:rsidR="00B87B84" w:rsidRDefault="00B87B84" w:rsidP="00D62AC0">
      <w:pPr>
        <w:pStyle w:val="Heading2"/>
      </w:pPr>
    </w:p>
    <w:p w:rsidR="00D62AC0" w:rsidRDefault="00D62AC0" w:rsidP="00D62AC0">
      <w:pPr>
        <w:pStyle w:val="Heading2"/>
      </w:pPr>
      <w:bookmarkStart w:id="23" w:name="_Toc346097186"/>
      <w:r>
        <w:t>Early Initiation</w:t>
      </w:r>
      <w:bookmarkEnd w:id="23"/>
    </w:p>
    <w:p w:rsidR="00D62AC0" w:rsidRDefault="00D62AC0" w:rsidP="003C6D60"/>
    <w:p w:rsidR="00B87B84" w:rsidRDefault="00B87B84" w:rsidP="003C6D60">
      <w:r>
        <w:t xml:space="preserve">From 2000 to 2010 there was steady improvement in the early initiation of </w:t>
      </w:r>
      <w:r w:rsidRPr="000A223A">
        <w:t>breastfeeding</w:t>
      </w:r>
      <w:r w:rsidR="00476A18" w:rsidRPr="000A223A">
        <w:t xml:space="preserve"> (Figure </w:t>
      </w:r>
      <w:r w:rsidR="000A223A" w:rsidRPr="000A223A">
        <w:t>6</w:t>
      </w:r>
      <w:r w:rsidR="00476A18" w:rsidRPr="000A223A">
        <w:t>)</w:t>
      </w:r>
      <w:r w:rsidR="00476A18">
        <w:t xml:space="preserve"> and exclusive breastfeeding</w:t>
      </w:r>
      <w:r>
        <w:t>.</w:t>
      </w:r>
      <w:r w:rsidR="00476A18">
        <w:t xml:space="preserve"> The change in exclusive breastfeeding is well documented and was attributed to a large scale communication campaign. The communication campaign that helped to reduce giving water and increased exclusive breastfeeding also included messages on early initiation. The full extent of the progress in early initiation was not seen until 2010 because the indicator measures the 5 years prior to the survey, while exclusive breastfeeding measures the past 24 hours.</w:t>
      </w:r>
      <w:r w:rsidR="0024790A">
        <w:t xml:space="preserve"> In ten years breastfeeding within one hour increased by 54 percentage points and the 2012 CEA shows that the improvement was equitable.</w:t>
      </w:r>
      <w:r w:rsidR="00476A18">
        <w:t xml:space="preserve"> Along with the increase in early initiation, there was a corresponding decrease in </w:t>
      </w:r>
      <w:proofErr w:type="spellStart"/>
      <w:r w:rsidR="00476A18">
        <w:t>prelacteal</w:t>
      </w:r>
      <w:proofErr w:type="spellEnd"/>
      <w:r w:rsidR="00476A18">
        <w:t xml:space="preserve"> feeding, which dropped from 57% in 2000 to 19% in 2010.</w:t>
      </w:r>
      <w:r w:rsidR="00413EA2">
        <w:t xml:space="preserve"> Surprisingly, there was no change seen in 2005 and all of this change occurred from 2005 to 2010. Additional analysis of CDHS 2010 data was carried out to provide better evidence on the improvements in early initiation and </w:t>
      </w:r>
      <w:proofErr w:type="spellStart"/>
      <w:r w:rsidR="00413EA2">
        <w:t>prelacteal</w:t>
      </w:r>
      <w:proofErr w:type="spellEnd"/>
      <w:r w:rsidR="00413EA2">
        <w:t xml:space="preserve"> feeding. </w:t>
      </w:r>
    </w:p>
    <w:p w:rsidR="00976AF8" w:rsidRDefault="00976AF8" w:rsidP="00976AF8">
      <w:pPr>
        <w:pStyle w:val="Caption"/>
        <w:keepNext/>
      </w:pPr>
      <w:bookmarkStart w:id="24" w:name="_Toc346097108"/>
      <w:proofErr w:type="gramStart"/>
      <w:r>
        <w:t xml:space="preserve">Figure </w:t>
      </w:r>
      <w:r w:rsidR="00E56D30">
        <w:fldChar w:fldCharType="begin"/>
      </w:r>
      <w:r w:rsidR="00E56D30">
        <w:instrText xml:space="preserve"> SEQ Figure \* ARABIC </w:instrText>
      </w:r>
      <w:r w:rsidR="00E56D30">
        <w:fldChar w:fldCharType="separate"/>
      </w:r>
      <w:r w:rsidR="00B23ACD">
        <w:rPr>
          <w:noProof/>
        </w:rPr>
        <w:t>6</w:t>
      </w:r>
      <w:r w:rsidR="00E56D30">
        <w:rPr>
          <w:noProof/>
        </w:rPr>
        <w:fldChar w:fldCharType="end"/>
      </w:r>
      <w:r>
        <w:t>.</w:t>
      </w:r>
      <w:proofErr w:type="gramEnd"/>
      <w:r>
        <w:t xml:space="preserve"> </w:t>
      </w:r>
      <w:r w:rsidRPr="00C84F69">
        <w:t>Early initiation of breastfeeding among last born children (from the previous 5 years) in Cambodia from 2000-2010</w:t>
      </w:r>
      <w:bookmarkEnd w:id="24"/>
    </w:p>
    <w:p w:rsidR="00B87B84" w:rsidRDefault="00B87B84" w:rsidP="003C6D60">
      <w:r w:rsidRPr="00B87B84">
        <w:rPr>
          <w:noProof/>
        </w:rPr>
        <w:drawing>
          <wp:inline distT="0" distB="0" distL="0" distR="0" wp14:anchorId="44610642" wp14:editId="5939DCFB">
            <wp:extent cx="5943600" cy="3707765"/>
            <wp:effectExtent l="0" t="0" r="19050" b="260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7B84" w:rsidRDefault="00B87B84" w:rsidP="003C6D60"/>
    <w:p w:rsidR="00A000F8" w:rsidRDefault="00976AF8" w:rsidP="00534C22">
      <w:r>
        <w:rPr>
          <w:noProof/>
        </w:rPr>
        <w:lastRenderedPageBreak/>
        <mc:AlternateContent>
          <mc:Choice Requires="wps">
            <w:drawing>
              <wp:anchor distT="0" distB="0" distL="114300" distR="114300" simplePos="0" relativeHeight="251667456" behindDoc="0" locked="0" layoutInCell="1" allowOverlap="1" wp14:anchorId="3BB8D25B" wp14:editId="3C6AB703">
                <wp:simplePos x="0" y="0"/>
                <wp:positionH relativeFrom="column">
                  <wp:posOffset>2781300</wp:posOffset>
                </wp:positionH>
                <wp:positionV relativeFrom="paragraph">
                  <wp:posOffset>2905760</wp:posOffset>
                </wp:positionV>
                <wp:extent cx="3654425" cy="200025"/>
                <wp:effectExtent l="0" t="0" r="3175" b="9525"/>
                <wp:wrapSquare wrapText="bothSides"/>
                <wp:docPr id="30" name="Text Box 30"/>
                <wp:cNvGraphicFramePr/>
                <a:graphic xmlns:a="http://schemas.openxmlformats.org/drawingml/2006/main">
                  <a:graphicData uri="http://schemas.microsoft.com/office/word/2010/wordprocessingShape">
                    <wps:wsp>
                      <wps:cNvSpPr txBox="1"/>
                      <wps:spPr>
                        <a:xfrm>
                          <a:off x="0" y="0"/>
                          <a:ext cx="3654425" cy="200025"/>
                        </a:xfrm>
                        <a:prstGeom prst="rect">
                          <a:avLst/>
                        </a:prstGeom>
                        <a:solidFill>
                          <a:prstClr val="white"/>
                        </a:solidFill>
                        <a:ln>
                          <a:noFill/>
                        </a:ln>
                        <a:effectLst/>
                      </wps:spPr>
                      <wps:txbx>
                        <w:txbxContent>
                          <w:p w:rsidR="00E56D30" w:rsidRPr="007F168D" w:rsidRDefault="00E56D30" w:rsidP="00F80C83">
                            <w:pPr>
                              <w:pStyle w:val="Caption"/>
                              <w:rPr>
                                <w:rFonts w:ascii="Times New Roman" w:hAnsi="Times New Roman" w:cs="Times New Roman"/>
                                <w:noProof/>
                                <w:sz w:val="24"/>
                                <w:szCs w:val="24"/>
                              </w:rPr>
                            </w:pPr>
                            <w:bookmarkStart w:id="25" w:name="_Toc346097109"/>
                            <w:proofErr w:type="gramStart"/>
                            <w:r>
                              <w:t xml:space="preserve">Figure </w:t>
                            </w:r>
                            <w:r w:rsidR="008C6692">
                              <w:t>8</w:t>
                            </w:r>
                            <w:r>
                              <w:t>.</w:t>
                            </w:r>
                            <w:proofErr w:type="gramEnd"/>
                            <w:r>
                              <w:t xml:space="preserve"> </w:t>
                            </w:r>
                            <w:proofErr w:type="spellStart"/>
                            <w:r>
                              <w:t>Prelacteal</w:t>
                            </w:r>
                            <w:proofErr w:type="spellEnd"/>
                            <w:r>
                              <w:t xml:space="preserve"> feeding questions, CDHS 2000</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0" type="#_x0000_t202" style="position:absolute;margin-left:219pt;margin-top:228.8pt;width:287.7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" stroked="f">
                <v:textbox inset="0,0,0,0">
                  <w:txbxContent>
                    <w:p w:rsidR="00E56D30" w:rsidRPr="007F168D" w:rsidRDefault="00E56D30" w:rsidP="00F80C83">
                      <w:pPr>
                        <w:pStyle w:val="Caption"/>
                        <w:rPr>
                          <w:rFonts w:ascii="Times New Roman" w:hAnsi="Times New Roman" w:cs="Times New Roman"/>
                          <w:noProof/>
                          <w:sz w:val="24"/>
                          <w:szCs w:val="24"/>
                        </w:rPr>
                      </w:pPr>
                      <w:bookmarkStart w:id="26" w:name="_Toc346097109"/>
                      <w:proofErr w:type="gramStart"/>
                      <w:r>
                        <w:t xml:space="preserve">Figure </w:t>
                      </w:r>
                      <w:r w:rsidR="008C6692">
                        <w:t>8</w:t>
                      </w:r>
                      <w:r>
                        <w:t>.</w:t>
                      </w:r>
                      <w:proofErr w:type="gramEnd"/>
                      <w:r>
                        <w:t xml:space="preserve"> </w:t>
                      </w:r>
                      <w:proofErr w:type="spellStart"/>
                      <w:r>
                        <w:t>Prelacteal</w:t>
                      </w:r>
                      <w:proofErr w:type="spellEnd"/>
                      <w:r>
                        <w:t xml:space="preserve"> feeding questions, CDHS 2000</w:t>
                      </w:r>
                      <w:bookmarkEnd w:id="26"/>
                    </w:p>
                  </w:txbxContent>
                </v:textbox>
                <w10:wrap type="square"/>
              </v:shape>
            </w:pict>
          </mc:Fallback>
        </mc:AlternateContent>
      </w:r>
      <w:r w:rsidR="00413EA2">
        <w:t xml:space="preserve">One of the difficulties in assessing improvement in exclusive breastfeeding was that the DHS questionnaire changed from 2000 to 2005. Analyzing the questionnaire for early initiation and </w:t>
      </w:r>
      <w:proofErr w:type="spellStart"/>
      <w:r w:rsidR="00413EA2">
        <w:t>prelacteal</w:t>
      </w:r>
      <w:proofErr w:type="spellEnd"/>
      <w:r w:rsidR="00413EA2">
        <w:t xml:space="preserve"> feeding indicators shows that one of the indicators may be affected by a change in the </w:t>
      </w:r>
      <w:r w:rsidR="00704600">
        <w:rPr>
          <w:noProof/>
        </w:rPr>
        <mc:AlternateContent>
          <mc:Choice Requires="wps">
            <w:drawing>
              <wp:anchor distT="0" distB="0" distL="114300" distR="114300" simplePos="0" relativeHeight="251664384" behindDoc="0" locked="0" layoutInCell="1" allowOverlap="1" wp14:anchorId="64FBD2A4" wp14:editId="2BCCD4A4">
                <wp:simplePos x="0" y="0"/>
                <wp:positionH relativeFrom="column">
                  <wp:posOffset>2705100</wp:posOffset>
                </wp:positionH>
                <wp:positionV relativeFrom="paragraph">
                  <wp:posOffset>28575</wp:posOffset>
                </wp:positionV>
                <wp:extent cx="3292475" cy="190500"/>
                <wp:effectExtent l="0" t="0" r="3175" b="0"/>
                <wp:wrapSquare wrapText="bothSides"/>
                <wp:docPr id="28" name="Text Box 28"/>
                <wp:cNvGraphicFramePr/>
                <a:graphic xmlns:a="http://schemas.openxmlformats.org/drawingml/2006/main">
                  <a:graphicData uri="http://schemas.microsoft.com/office/word/2010/wordprocessingShape">
                    <wps:wsp>
                      <wps:cNvSpPr txBox="1"/>
                      <wps:spPr>
                        <a:xfrm>
                          <a:off x="0" y="0"/>
                          <a:ext cx="3292475" cy="190500"/>
                        </a:xfrm>
                        <a:prstGeom prst="rect">
                          <a:avLst/>
                        </a:prstGeom>
                        <a:solidFill>
                          <a:prstClr val="white"/>
                        </a:solidFill>
                        <a:ln>
                          <a:noFill/>
                        </a:ln>
                        <a:effectLst/>
                      </wps:spPr>
                      <wps:txbx>
                        <w:txbxContent>
                          <w:p w:rsidR="00E56D30" w:rsidRPr="00392126" w:rsidRDefault="00E56D30" w:rsidP="00F80C83">
                            <w:pPr>
                              <w:pStyle w:val="Caption"/>
                              <w:rPr>
                                <w:rFonts w:ascii="Times New Roman" w:hAnsi="Times New Roman" w:cs="Times New Roman"/>
                                <w:noProof/>
                                <w:sz w:val="24"/>
                                <w:szCs w:val="24"/>
                              </w:rPr>
                            </w:pPr>
                            <w:bookmarkStart w:id="27" w:name="_Toc346097110"/>
                            <w:proofErr w:type="gramStart"/>
                            <w:r>
                              <w:t xml:space="preserve">Figure </w:t>
                            </w:r>
                            <w:r w:rsidR="008C6692">
                              <w:t>7</w:t>
                            </w:r>
                            <w:r>
                              <w:t>.</w:t>
                            </w:r>
                            <w:proofErr w:type="gramEnd"/>
                            <w:r>
                              <w:t xml:space="preserve"> </w:t>
                            </w:r>
                            <w:proofErr w:type="spellStart"/>
                            <w:r>
                              <w:t>Prelacteal</w:t>
                            </w:r>
                            <w:proofErr w:type="spellEnd"/>
                            <w:r>
                              <w:t xml:space="preserve"> feeding questions, CDHS 2005 and 2010</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1" type="#_x0000_t202" style="position:absolute;margin-left:213pt;margin-top:2.25pt;width:259.2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" stroked="f">
                <v:textbox inset="0,0,0,0">
                  <w:txbxContent>
                    <w:p w:rsidR="00E56D30" w:rsidRPr="00392126" w:rsidRDefault="00E56D30" w:rsidP="00F80C83">
                      <w:pPr>
                        <w:pStyle w:val="Caption"/>
                        <w:rPr>
                          <w:rFonts w:ascii="Times New Roman" w:hAnsi="Times New Roman" w:cs="Times New Roman"/>
                          <w:noProof/>
                          <w:sz w:val="24"/>
                          <w:szCs w:val="24"/>
                        </w:rPr>
                      </w:pPr>
                      <w:bookmarkStart w:id="28" w:name="_Toc346097110"/>
                      <w:proofErr w:type="gramStart"/>
                      <w:r>
                        <w:t xml:space="preserve">Figure </w:t>
                      </w:r>
                      <w:r w:rsidR="008C6692">
                        <w:t>7</w:t>
                      </w:r>
                      <w:r>
                        <w:t>.</w:t>
                      </w:r>
                      <w:proofErr w:type="gramEnd"/>
                      <w:r>
                        <w:t xml:space="preserve"> </w:t>
                      </w:r>
                      <w:proofErr w:type="spellStart"/>
                      <w:r>
                        <w:t>Prelacteal</w:t>
                      </w:r>
                      <w:proofErr w:type="spellEnd"/>
                      <w:r>
                        <w:t xml:space="preserve"> feeding questions, CDHS 2005 and 2010</w:t>
                      </w:r>
                      <w:bookmarkEnd w:id="28"/>
                    </w:p>
                  </w:txbxContent>
                </v:textbox>
                <w10:wrap type="square"/>
              </v:shape>
            </w:pict>
          </mc:Fallback>
        </mc:AlternateContent>
      </w:r>
      <w:r w:rsidR="00413EA2">
        <w:t xml:space="preserve">questionnaire. There was no change in the </w:t>
      </w:r>
      <w:r w:rsidR="00704600">
        <w:rPr>
          <w:noProof/>
        </w:rPr>
        <w:drawing>
          <wp:anchor distT="0" distB="0" distL="114300" distR="114300" simplePos="0" relativeHeight="251662336" behindDoc="0" locked="0" layoutInCell="1" allowOverlap="1" wp14:anchorId="6C06631A" wp14:editId="4C14E03E">
            <wp:simplePos x="0" y="0"/>
            <wp:positionH relativeFrom="margin">
              <wp:posOffset>2705100</wp:posOffset>
            </wp:positionH>
            <wp:positionV relativeFrom="margin">
              <wp:posOffset>314325</wp:posOffset>
            </wp:positionV>
            <wp:extent cx="3292475" cy="2438400"/>
            <wp:effectExtent l="0" t="0" r="317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2475" cy="2438400"/>
                    </a:xfrm>
                    <a:prstGeom prst="rect">
                      <a:avLst/>
                    </a:prstGeom>
                    <a:noFill/>
                    <a:ln>
                      <a:noFill/>
                    </a:ln>
                  </pic:spPr>
                </pic:pic>
              </a:graphicData>
            </a:graphic>
          </wp:anchor>
        </w:drawing>
      </w:r>
      <w:r w:rsidR="00413EA2">
        <w:t>early initiation indicator, but there w</w:t>
      </w:r>
      <w:r w:rsidR="00F80C83">
        <w:t xml:space="preserve">ere multiple changes </w:t>
      </w:r>
      <w:r w:rsidR="00413EA2">
        <w:t xml:space="preserve">for </w:t>
      </w:r>
      <w:proofErr w:type="spellStart"/>
      <w:r w:rsidR="00413EA2">
        <w:t>prelacteal</w:t>
      </w:r>
      <w:proofErr w:type="spellEnd"/>
      <w:r w:rsidR="00413EA2">
        <w:t xml:space="preserve"> feeding</w:t>
      </w:r>
      <w:r w:rsidR="003054A8">
        <w:t xml:space="preserve"> </w:t>
      </w:r>
      <w:r w:rsidR="003054A8" w:rsidRPr="008C6692">
        <w:t>(Figures</w:t>
      </w:r>
      <w:r w:rsidR="008C6692" w:rsidRPr="008C6692">
        <w:t xml:space="preserve"> 7</w:t>
      </w:r>
      <w:r w:rsidR="003054A8" w:rsidRPr="008C6692">
        <w:t xml:space="preserve"> and </w:t>
      </w:r>
      <w:r w:rsidR="008C6692" w:rsidRPr="008C6692">
        <w:t>8</w:t>
      </w:r>
      <w:r w:rsidR="003054A8" w:rsidRPr="008C6692">
        <w:t>)</w:t>
      </w:r>
      <w:r w:rsidR="00413EA2" w:rsidRPr="008C6692">
        <w:t>.</w:t>
      </w:r>
      <w:r w:rsidR="00413EA2">
        <w:t xml:space="preserve"> </w:t>
      </w:r>
      <w:r w:rsidR="00F80C83">
        <w:t>In 2005 a skip question was added and the wording of the question was revised</w:t>
      </w:r>
      <w:r w:rsidR="00A000F8">
        <w:t xml:space="preserve">. Changes to the wording of the question, including removal of “before milk flowing” and mentioning of the traditional </w:t>
      </w:r>
      <w:proofErr w:type="spellStart"/>
      <w:r w:rsidR="00A000F8">
        <w:t>prelacteal</w:t>
      </w:r>
      <w:proofErr w:type="spellEnd"/>
      <w:r w:rsidR="00A000F8">
        <w:t xml:space="preserve"> feed, may have changed how respondents perceived the meaning of the question. Changes to the questionnaire could explain </w:t>
      </w:r>
      <w:r w:rsidR="005412DF">
        <w:t xml:space="preserve">some of </w:t>
      </w:r>
      <w:r w:rsidR="00A000F8">
        <w:t xml:space="preserve">why </w:t>
      </w:r>
      <w:proofErr w:type="spellStart"/>
      <w:r w:rsidR="00A000F8">
        <w:t>prelacteal</w:t>
      </w:r>
      <w:proofErr w:type="spellEnd"/>
      <w:r w:rsidR="00A000F8">
        <w:t xml:space="preserve"> feeding is the only indicator that does not show </w:t>
      </w:r>
      <w:r w:rsidR="00704600">
        <w:rPr>
          <w:noProof/>
        </w:rPr>
        <w:drawing>
          <wp:anchor distT="0" distB="0" distL="114300" distR="114300" simplePos="0" relativeHeight="251665408" behindDoc="0" locked="0" layoutInCell="1" allowOverlap="1" wp14:anchorId="57EB97D8" wp14:editId="042D13D6">
            <wp:simplePos x="0" y="0"/>
            <wp:positionH relativeFrom="margin">
              <wp:posOffset>2486025</wp:posOffset>
            </wp:positionH>
            <wp:positionV relativeFrom="margin">
              <wp:posOffset>3126740</wp:posOffset>
            </wp:positionV>
            <wp:extent cx="3654425" cy="948690"/>
            <wp:effectExtent l="0" t="0" r="3175"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442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2DF">
        <w:t>improvement in 2005, but there is an additional reason with a more obvious impact.</w:t>
      </w:r>
    </w:p>
    <w:p w:rsidR="00115180" w:rsidRDefault="005412DF" w:rsidP="00534C22">
      <w:r>
        <w:t>More</w:t>
      </w:r>
      <w:r w:rsidR="003054A8">
        <w:t xml:space="preserve"> difference</w:t>
      </w:r>
      <w:r>
        <w:t>s</w:t>
      </w:r>
      <w:r w:rsidR="003054A8">
        <w:t xml:space="preserve"> </w:t>
      </w:r>
      <w:r w:rsidR="00704600">
        <w:t xml:space="preserve">can be found in how the indicators are calculated. Starting in 2005 only the “last-born” child is included in both the </w:t>
      </w:r>
      <w:proofErr w:type="spellStart"/>
      <w:r w:rsidR="00704600">
        <w:t>prelacteal</w:t>
      </w:r>
      <w:proofErr w:type="spellEnd"/>
      <w:r w:rsidR="00704600">
        <w:t xml:space="preserve"> feeding and early initiation indicators. This difference is not considered to have had a large impact o</w:t>
      </w:r>
      <w:r>
        <w:t xml:space="preserve">n estimates, but excluding “plain water” as a </w:t>
      </w:r>
      <w:proofErr w:type="spellStart"/>
      <w:r>
        <w:t>prelacteal</w:t>
      </w:r>
      <w:proofErr w:type="spellEnd"/>
      <w:r>
        <w:t xml:space="preserve"> feed in 2000 resulted in an approximate 35 percentage point underestimation of the indicator. In 2000 more than 90% of children received a </w:t>
      </w:r>
      <w:proofErr w:type="spellStart"/>
      <w:r>
        <w:t>prelacteal</w:t>
      </w:r>
      <w:proofErr w:type="spellEnd"/>
      <w:r>
        <w:t xml:space="preserve"> feed if “plain water” is included. There was significant improvement in </w:t>
      </w:r>
      <w:proofErr w:type="spellStart"/>
      <w:r>
        <w:t>prelacteal</w:t>
      </w:r>
      <w:proofErr w:type="spellEnd"/>
      <w:r>
        <w:t xml:space="preserve"> feeding from 2000 to 2005, but the improvement was hidden by calculating the indicator with different criteria.</w:t>
      </w:r>
    </w:p>
    <w:p w:rsidR="00704600" w:rsidRDefault="00115180" w:rsidP="00534C22">
      <w:r>
        <w:t xml:space="preserve">By recalculating the indicators to include “plain water” as a </w:t>
      </w:r>
      <w:proofErr w:type="spellStart"/>
      <w:r>
        <w:t>prelacteal</w:t>
      </w:r>
      <w:proofErr w:type="spellEnd"/>
      <w:r>
        <w:t xml:space="preserve"> feed in 2000, and by plotting results of all three surveys by year of birth of the child, it is obvious that the increase in early initiation and the decrease in </w:t>
      </w:r>
      <w:proofErr w:type="spellStart"/>
      <w:r>
        <w:t>prelacteal</w:t>
      </w:r>
      <w:proofErr w:type="spellEnd"/>
      <w:r>
        <w:t xml:space="preserve"> feeding occurred at the same time. The indicators mirror each other in an inverse </w:t>
      </w:r>
      <w:r w:rsidRPr="008C6692">
        <w:t>relationship</w:t>
      </w:r>
      <w:r w:rsidR="00751FCD" w:rsidRPr="008C6692">
        <w:t xml:space="preserve"> (Figure </w:t>
      </w:r>
      <w:r w:rsidR="008C6692" w:rsidRPr="008C6692">
        <w:t>9</w:t>
      </w:r>
      <w:r w:rsidR="00751FCD" w:rsidRPr="008C6692">
        <w:t>)</w:t>
      </w:r>
      <w:r w:rsidRPr="008C6692">
        <w:t>.</w:t>
      </w:r>
    </w:p>
    <w:p w:rsidR="00751FCD" w:rsidRDefault="00751FCD" w:rsidP="00D62AC0">
      <w:pPr>
        <w:rPr>
          <w:rFonts w:ascii="Times New Roman" w:hAnsi="Times New Roman" w:cs="Times New Roman"/>
          <w:sz w:val="24"/>
          <w:szCs w:val="24"/>
        </w:rPr>
      </w:pPr>
    </w:p>
    <w:p w:rsidR="00976AF8" w:rsidRDefault="00976AF8" w:rsidP="00976AF8">
      <w:pPr>
        <w:pStyle w:val="Caption"/>
        <w:keepNext/>
      </w:pPr>
      <w:bookmarkStart w:id="29" w:name="_Toc346097111"/>
      <w:proofErr w:type="gramStart"/>
      <w:r>
        <w:lastRenderedPageBreak/>
        <w:t xml:space="preserve">Figure </w:t>
      </w:r>
      <w:r w:rsidR="00E56D30">
        <w:fldChar w:fldCharType="begin"/>
      </w:r>
      <w:r w:rsidR="00E56D30">
        <w:instrText xml:space="preserve"> SEQ Figure \* ARABIC </w:instrText>
      </w:r>
      <w:r w:rsidR="00E56D30">
        <w:fldChar w:fldCharType="separate"/>
      </w:r>
      <w:r w:rsidR="00B23ACD">
        <w:rPr>
          <w:noProof/>
        </w:rPr>
        <w:t>9</w:t>
      </w:r>
      <w:r w:rsidR="00E56D30">
        <w:rPr>
          <w:noProof/>
        </w:rPr>
        <w:fldChar w:fldCharType="end"/>
      </w:r>
      <w:r>
        <w:t>.</w:t>
      </w:r>
      <w:proofErr w:type="gramEnd"/>
      <w:r>
        <w:t xml:space="preserve"> Early Initiation of Breastfeeding and</w:t>
      </w:r>
      <w:r w:rsidRPr="00C82069">
        <w:t xml:space="preserve"> </w:t>
      </w:r>
      <w:proofErr w:type="spellStart"/>
      <w:r w:rsidRPr="00C82069">
        <w:t>Prelacteal</w:t>
      </w:r>
      <w:proofErr w:type="spellEnd"/>
      <w:r w:rsidRPr="00C82069">
        <w:t xml:space="preserve"> Feeding Trend CDHS 2000-2010</w:t>
      </w:r>
      <w:bookmarkEnd w:id="29"/>
    </w:p>
    <w:p w:rsidR="00D62AC0" w:rsidRDefault="00115180" w:rsidP="00D62AC0">
      <w:pPr>
        <w:rPr>
          <w:rFonts w:ascii="Times New Roman" w:hAnsi="Times New Roman" w:cs="Times New Roman"/>
          <w:sz w:val="24"/>
          <w:szCs w:val="24"/>
        </w:rPr>
      </w:pPr>
      <w:r>
        <w:rPr>
          <w:noProof/>
        </w:rPr>
        <w:drawing>
          <wp:inline distT="0" distB="0" distL="0" distR="0" wp14:anchorId="75C642F6" wp14:editId="5203D240">
            <wp:extent cx="5943600" cy="2655570"/>
            <wp:effectExtent l="0" t="0" r="1905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2AC0" w:rsidRDefault="00D62AC0" w:rsidP="00D62AC0">
      <w:pPr>
        <w:rPr>
          <w:rFonts w:ascii="Times New Roman" w:hAnsi="Times New Roman" w:cs="Times New Roman"/>
          <w:sz w:val="24"/>
          <w:szCs w:val="24"/>
        </w:rPr>
      </w:pPr>
    </w:p>
    <w:p w:rsidR="00D62AC0" w:rsidRPr="0024790A" w:rsidRDefault="00751FCD" w:rsidP="003C6D60">
      <w:pPr>
        <w:rPr>
          <w:shd w:val="clear" w:color="auto" w:fill="FFFFFF"/>
        </w:rPr>
      </w:pPr>
      <w:r>
        <w:rPr>
          <w:shd w:val="clear" w:color="auto" w:fill="FFFFFF"/>
        </w:rPr>
        <w:t xml:space="preserve">Communication on breastfeeding was </w:t>
      </w:r>
      <w:r w:rsidR="00F65C48">
        <w:rPr>
          <w:shd w:val="clear" w:color="auto" w:fill="FFFFFF"/>
        </w:rPr>
        <w:t xml:space="preserve">and continues to be </w:t>
      </w:r>
      <w:r>
        <w:rPr>
          <w:shd w:val="clear" w:color="auto" w:fill="FFFFFF"/>
        </w:rPr>
        <w:t>delivered via mass media</w:t>
      </w:r>
      <w:r w:rsidR="00F65C48">
        <w:rPr>
          <w:shd w:val="clear" w:color="auto" w:fill="FFFFFF"/>
        </w:rPr>
        <w:t xml:space="preserve"> nationwide</w:t>
      </w:r>
      <w:r>
        <w:rPr>
          <w:shd w:val="clear" w:color="auto" w:fill="FFFFFF"/>
        </w:rPr>
        <w:t xml:space="preserve"> and throu</w:t>
      </w:r>
      <w:r w:rsidR="00F65C48">
        <w:rPr>
          <w:shd w:val="clear" w:color="auto" w:fill="FFFFFF"/>
        </w:rPr>
        <w:t xml:space="preserve">gh interpersonal communication by health center staff and community volunteers. Limiting analysis to children born in the last two years and disaggregating by delivery location gives an indication of the impact of health staff on breastfeeding </w:t>
      </w:r>
      <w:proofErr w:type="spellStart"/>
      <w:r w:rsidR="00F65C48">
        <w:rPr>
          <w:shd w:val="clear" w:color="auto" w:fill="FFFFFF"/>
        </w:rPr>
        <w:t>behaviours</w:t>
      </w:r>
      <w:proofErr w:type="spellEnd"/>
      <w:r w:rsidR="00F65C48">
        <w:rPr>
          <w:shd w:val="clear" w:color="auto" w:fill="FFFFFF"/>
        </w:rPr>
        <w:t xml:space="preserve">. Table </w:t>
      </w:r>
      <w:r w:rsidR="008C6692">
        <w:rPr>
          <w:shd w:val="clear" w:color="auto" w:fill="FFFFFF"/>
        </w:rPr>
        <w:t>6</w:t>
      </w:r>
      <w:r w:rsidR="00F65C48">
        <w:rPr>
          <w:shd w:val="clear" w:color="auto" w:fill="FFFFFF"/>
        </w:rPr>
        <w:t xml:space="preserve"> shows that women delivering in a public or private facility are more likely to initiate breastfeeding early when compared to delivering at home. No difference between public and private suggests that both providers are promoting early initiation. However, women delivering in private facilities</w:t>
      </w:r>
      <w:r w:rsidR="0024790A">
        <w:rPr>
          <w:shd w:val="clear" w:color="auto" w:fill="FFFFFF"/>
        </w:rPr>
        <w:t xml:space="preserve"> are more than two times more likely to give a </w:t>
      </w:r>
      <w:proofErr w:type="spellStart"/>
      <w:r w:rsidR="0024790A">
        <w:rPr>
          <w:shd w:val="clear" w:color="auto" w:fill="FFFFFF"/>
        </w:rPr>
        <w:t>prelacteal</w:t>
      </w:r>
      <w:proofErr w:type="spellEnd"/>
      <w:r w:rsidR="0024790A">
        <w:rPr>
          <w:shd w:val="clear" w:color="auto" w:fill="FFFFFF"/>
        </w:rPr>
        <w:t xml:space="preserve"> feed</w:t>
      </w:r>
      <w:r w:rsidR="00F65C48">
        <w:rPr>
          <w:shd w:val="clear" w:color="auto" w:fill="FFFFFF"/>
        </w:rPr>
        <w:t xml:space="preserve"> when compared to delivery in a public facility or at home. This is likely the result of private sector providers prom</w:t>
      </w:r>
      <w:r w:rsidR="0024790A">
        <w:rPr>
          <w:shd w:val="clear" w:color="auto" w:fill="FFFFFF"/>
        </w:rPr>
        <w:t>oting the use of infant formula.</w:t>
      </w:r>
      <w:r w:rsidR="00F65C48">
        <w:rPr>
          <w:shd w:val="clear" w:color="auto" w:fill="FFFFFF"/>
        </w:rPr>
        <w:t xml:space="preserve"> </w:t>
      </w:r>
      <w:r w:rsidR="0024790A">
        <w:rPr>
          <w:shd w:val="clear" w:color="auto" w:fill="FFFFFF"/>
        </w:rPr>
        <w:t>Promotion of infant formula is</w:t>
      </w:r>
      <w:r w:rsidR="00F65C48">
        <w:rPr>
          <w:shd w:val="clear" w:color="auto" w:fill="FFFFFF"/>
        </w:rPr>
        <w:t xml:space="preserve"> illegal in Cambodia</w:t>
      </w:r>
      <w:r w:rsidR="0024790A">
        <w:rPr>
          <w:shd w:val="clear" w:color="auto" w:fill="FFFFFF"/>
        </w:rPr>
        <w:t xml:space="preserve"> and poses an immediate threat to the gains made in breastfeeding over the last decade</w:t>
      </w:r>
      <w:r w:rsidR="00F65C48">
        <w:rPr>
          <w:shd w:val="clear" w:color="auto" w:fill="FFFFFF"/>
        </w:rPr>
        <w:t xml:space="preserve">.   </w:t>
      </w:r>
    </w:p>
    <w:p w:rsidR="00976AF8" w:rsidRDefault="00976AF8" w:rsidP="00976AF8">
      <w:pPr>
        <w:pStyle w:val="Caption"/>
        <w:keepNext/>
      </w:pPr>
      <w:bookmarkStart w:id="30" w:name="_Toc346097135"/>
      <w:proofErr w:type="gramStart"/>
      <w:r>
        <w:t xml:space="preserve">Table </w:t>
      </w:r>
      <w:proofErr w:type="gramEnd"/>
      <w:r w:rsidR="00E56D30">
        <w:fldChar w:fldCharType="begin"/>
      </w:r>
      <w:r w:rsidR="00E56D30">
        <w:instrText xml:space="preserve"> SEQ Table \* ARABIC </w:instrText>
      </w:r>
      <w:r w:rsidR="00E56D30">
        <w:fldChar w:fldCharType="separate"/>
      </w:r>
      <w:r w:rsidR="00E56D30">
        <w:rPr>
          <w:noProof/>
        </w:rPr>
        <w:t>6</w:t>
      </w:r>
      <w:r w:rsidR="00E56D30">
        <w:rPr>
          <w:noProof/>
        </w:rPr>
        <w:fldChar w:fldCharType="end"/>
      </w:r>
      <w:proofErr w:type="gramStart"/>
      <w:r>
        <w:t>.</w:t>
      </w:r>
      <w:proofErr w:type="gramEnd"/>
      <w:r>
        <w:t xml:space="preserve"> Early initiation of breastfeeding and </w:t>
      </w:r>
      <w:proofErr w:type="spellStart"/>
      <w:r>
        <w:t>prelacteal</w:t>
      </w:r>
      <w:proofErr w:type="spellEnd"/>
      <w:r>
        <w:t xml:space="preserve"> feeding by place of delivery, CDHS 2000-2010</w:t>
      </w:r>
      <w:bookmarkEnd w:id="30"/>
    </w:p>
    <w:tbl>
      <w:tblPr>
        <w:tblW w:w="8141" w:type="dxa"/>
        <w:tblInd w:w="93" w:type="dxa"/>
        <w:tblLook w:val="04A0" w:firstRow="1" w:lastRow="0" w:firstColumn="1" w:lastColumn="0" w:noHBand="0" w:noVBand="1"/>
      </w:tblPr>
      <w:tblGrid>
        <w:gridCol w:w="960"/>
        <w:gridCol w:w="1234"/>
        <w:gridCol w:w="1234"/>
        <w:gridCol w:w="1252"/>
        <w:gridCol w:w="360"/>
        <w:gridCol w:w="1003"/>
        <w:gridCol w:w="1049"/>
        <w:gridCol w:w="1049"/>
      </w:tblGrid>
      <w:tr w:rsidR="00D62AC0" w:rsidRPr="00D62AC0" w:rsidTr="00D62AC0">
        <w:trPr>
          <w:trHeight w:val="240"/>
        </w:trPr>
        <w:tc>
          <w:tcPr>
            <w:tcW w:w="960" w:type="dxa"/>
            <w:tcBorders>
              <w:top w:val="single" w:sz="4" w:space="0" w:color="auto"/>
              <w:left w:val="single" w:sz="4" w:space="0" w:color="auto"/>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r w:rsidRPr="00D62AC0">
              <w:rPr>
                <w:rFonts w:ascii="Calibri" w:eastAsia="Times New Roman" w:hAnsi="Calibri" w:cs="Calibri"/>
                <w:color w:val="000000"/>
                <w:sz w:val="18"/>
                <w:szCs w:val="18"/>
              </w:rPr>
              <w:t> </w:t>
            </w:r>
          </w:p>
        </w:tc>
        <w:tc>
          <w:tcPr>
            <w:tcW w:w="3720" w:type="dxa"/>
            <w:gridSpan w:val="3"/>
            <w:tcBorders>
              <w:top w:val="single" w:sz="4" w:space="0" w:color="auto"/>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Early Initiation (&lt;2 years)</w:t>
            </w:r>
          </w:p>
        </w:tc>
        <w:tc>
          <w:tcPr>
            <w:tcW w:w="360" w:type="dxa"/>
            <w:tcBorders>
              <w:top w:val="single" w:sz="4" w:space="0" w:color="auto"/>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r w:rsidRPr="00D62AC0">
              <w:rPr>
                <w:rFonts w:ascii="Calibri" w:eastAsia="Times New Roman" w:hAnsi="Calibri" w:cs="Calibri"/>
                <w:color w:val="000000"/>
                <w:sz w:val="18"/>
                <w:szCs w:val="18"/>
              </w:rPr>
              <w:t> </w:t>
            </w:r>
          </w:p>
        </w:tc>
        <w:tc>
          <w:tcPr>
            <w:tcW w:w="3101" w:type="dxa"/>
            <w:gridSpan w:val="3"/>
            <w:tcBorders>
              <w:top w:val="single" w:sz="4" w:space="0" w:color="auto"/>
              <w:left w:val="nil"/>
              <w:bottom w:val="nil"/>
              <w:right w:val="single" w:sz="4" w:space="0" w:color="000000"/>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proofErr w:type="spellStart"/>
            <w:r w:rsidRPr="00D62AC0">
              <w:rPr>
                <w:rFonts w:ascii="Calibri" w:eastAsia="Times New Roman" w:hAnsi="Calibri" w:cs="Calibri"/>
                <w:b/>
                <w:bCs/>
                <w:color w:val="000000"/>
                <w:sz w:val="18"/>
                <w:szCs w:val="18"/>
              </w:rPr>
              <w:t>Prelacteal</w:t>
            </w:r>
            <w:proofErr w:type="spellEnd"/>
            <w:r w:rsidRPr="00D62AC0">
              <w:rPr>
                <w:rFonts w:ascii="Calibri" w:eastAsia="Times New Roman" w:hAnsi="Calibri" w:cs="Calibri"/>
                <w:b/>
                <w:bCs/>
                <w:color w:val="000000"/>
                <w:sz w:val="18"/>
                <w:szCs w:val="18"/>
              </w:rPr>
              <w:t xml:space="preserve"> (&lt;2 years)</w:t>
            </w:r>
          </w:p>
        </w:tc>
      </w:tr>
      <w:tr w:rsidR="00D62AC0" w:rsidRPr="00D62AC0" w:rsidTr="00D62AC0">
        <w:trPr>
          <w:trHeight w:val="240"/>
        </w:trPr>
        <w:tc>
          <w:tcPr>
            <w:tcW w:w="960" w:type="dxa"/>
            <w:tcBorders>
              <w:top w:val="nil"/>
              <w:left w:val="single" w:sz="4" w:space="0" w:color="auto"/>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r w:rsidRPr="00D62AC0">
              <w:rPr>
                <w:rFonts w:ascii="Calibri" w:eastAsia="Times New Roman" w:hAnsi="Calibri" w:cs="Calibri"/>
                <w:color w:val="000000"/>
                <w:sz w:val="18"/>
                <w:szCs w:val="18"/>
              </w:rPr>
              <w:t> </w:t>
            </w:r>
          </w:p>
        </w:tc>
        <w:tc>
          <w:tcPr>
            <w:tcW w:w="1234"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2000</w:t>
            </w:r>
          </w:p>
        </w:tc>
        <w:tc>
          <w:tcPr>
            <w:tcW w:w="1234"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2005</w:t>
            </w:r>
          </w:p>
        </w:tc>
        <w:tc>
          <w:tcPr>
            <w:tcW w:w="1252"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2010</w:t>
            </w:r>
          </w:p>
        </w:tc>
        <w:tc>
          <w:tcPr>
            <w:tcW w:w="360"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2000</w:t>
            </w:r>
          </w:p>
        </w:tc>
        <w:tc>
          <w:tcPr>
            <w:tcW w:w="1049"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2005</w:t>
            </w:r>
          </w:p>
        </w:tc>
        <w:tc>
          <w:tcPr>
            <w:tcW w:w="1049" w:type="dxa"/>
            <w:tcBorders>
              <w:top w:val="nil"/>
              <w:left w:val="nil"/>
              <w:bottom w:val="nil"/>
              <w:right w:val="single" w:sz="4" w:space="0" w:color="auto"/>
            </w:tcBorders>
            <w:shd w:val="clear" w:color="auto" w:fill="auto"/>
            <w:noWrap/>
            <w:vAlign w:val="bottom"/>
            <w:hideMark/>
          </w:tcPr>
          <w:p w:rsidR="00D62AC0" w:rsidRPr="00D62AC0" w:rsidRDefault="00D62AC0" w:rsidP="00D62AC0">
            <w:pPr>
              <w:spacing w:after="0" w:line="240" w:lineRule="auto"/>
              <w:jc w:val="center"/>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2010</w:t>
            </w:r>
          </w:p>
        </w:tc>
      </w:tr>
      <w:tr w:rsidR="00D62AC0" w:rsidRPr="00D62AC0" w:rsidTr="00D62AC0">
        <w:trPr>
          <w:trHeight w:val="285"/>
        </w:trPr>
        <w:tc>
          <w:tcPr>
            <w:tcW w:w="960" w:type="dxa"/>
            <w:tcBorders>
              <w:top w:val="nil"/>
              <w:left w:val="single" w:sz="4" w:space="0" w:color="auto"/>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Public</w:t>
            </w:r>
          </w:p>
        </w:tc>
        <w:tc>
          <w:tcPr>
            <w:tcW w:w="1234"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17.4</w:t>
            </w:r>
            <w:r w:rsidRPr="00D62AC0">
              <w:rPr>
                <w:rFonts w:ascii="Calibri" w:eastAsia="Times New Roman" w:hAnsi="Calibri" w:cs="Calibri"/>
                <w:color w:val="000000"/>
                <w:sz w:val="18"/>
                <w:szCs w:val="18"/>
                <w:vertAlign w:val="superscript"/>
              </w:rPr>
              <w:t>a</w:t>
            </w:r>
          </w:p>
        </w:tc>
        <w:tc>
          <w:tcPr>
            <w:tcW w:w="1234"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45.3</w:t>
            </w:r>
            <w:r w:rsidRPr="00D62AC0">
              <w:rPr>
                <w:rFonts w:ascii="Calibri" w:eastAsia="Times New Roman" w:hAnsi="Calibri" w:cs="Calibri"/>
                <w:color w:val="000000"/>
                <w:sz w:val="18"/>
                <w:szCs w:val="18"/>
                <w:vertAlign w:val="superscript"/>
              </w:rPr>
              <w:t>a</w:t>
            </w:r>
          </w:p>
        </w:tc>
        <w:tc>
          <w:tcPr>
            <w:tcW w:w="1252"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69.9</w:t>
            </w:r>
            <w:r w:rsidRPr="00D62AC0">
              <w:rPr>
                <w:rFonts w:ascii="Calibri" w:eastAsia="Times New Roman" w:hAnsi="Calibri" w:cs="Calibri"/>
                <w:color w:val="000000"/>
                <w:sz w:val="18"/>
                <w:szCs w:val="18"/>
                <w:vertAlign w:val="superscript"/>
              </w:rPr>
              <w:t>b</w:t>
            </w:r>
          </w:p>
        </w:tc>
        <w:tc>
          <w:tcPr>
            <w:tcW w:w="360"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p>
        </w:tc>
        <w:tc>
          <w:tcPr>
            <w:tcW w:w="1003"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92.8</w:t>
            </w:r>
          </w:p>
        </w:tc>
        <w:tc>
          <w:tcPr>
            <w:tcW w:w="1049"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32.8</w:t>
            </w:r>
            <w:r w:rsidRPr="00D62AC0">
              <w:rPr>
                <w:rFonts w:ascii="Calibri" w:eastAsia="Times New Roman" w:hAnsi="Calibri" w:cs="Calibri"/>
                <w:color w:val="000000"/>
                <w:sz w:val="18"/>
                <w:szCs w:val="18"/>
                <w:vertAlign w:val="superscript"/>
              </w:rPr>
              <w:t>b</w:t>
            </w:r>
          </w:p>
        </w:tc>
        <w:tc>
          <w:tcPr>
            <w:tcW w:w="1049" w:type="dxa"/>
            <w:tcBorders>
              <w:top w:val="nil"/>
              <w:left w:val="nil"/>
              <w:bottom w:val="nil"/>
              <w:right w:val="single" w:sz="4" w:space="0" w:color="auto"/>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15.2</w:t>
            </w:r>
            <w:r w:rsidRPr="00D62AC0">
              <w:rPr>
                <w:rFonts w:ascii="Calibri" w:eastAsia="Times New Roman" w:hAnsi="Calibri" w:cs="Calibri"/>
                <w:color w:val="000000"/>
                <w:sz w:val="18"/>
                <w:szCs w:val="18"/>
                <w:vertAlign w:val="superscript"/>
              </w:rPr>
              <w:t>b</w:t>
            </w:r>
          </w:p>
        </w:tc>
      </w:tr>
      <w:tr w:rsidR="00D62AC0" w:rsidRPr="00D62AC0" w:rsidTr="00D62AC0">
        <w:trPr>
          <w:trHeight w:val="240"/>
        </w:trPr>
        <w:tc>
          <w:tcPr>
            <w:tcW w:w="960" w:type="dxa"/>
            <w:tcBorders>
              <w:top w:val="nil"/>
              <w:left w:val="single" w:sz="4" w:space="0" w:color="auto"/>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Private</w:t>
            </w:r>
          </w:p>
        </w:tc>
        <w:tc>
          <w:tcPr>
            <w:tcW w:w="1234"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13.0</w:t>
            </w:r>
          </w:p>
        </w:tc>
        <w:tc>
          <w:tcPr>
            <w:tcW w:w="1234"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35.6</w:t>
            </w:r>
          </w:p>
        </w:tc>
        <w:tc>
          <w:tcPr>
            <w:tcW w:w="1252"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66.0</w:t>
            </w:r>
          </w:p>
        </w:tc>
        <w:tc>
          <w:tcPr>
            <w:tcW w:w="360"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p>
        </w:tc>
        <w:tc>
          <w:tcPr>
            <w:tcW w:w="1003"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90.5</w:t>
            </w:r>
          </w:p>
        </w:tc>
        <w:tc>
          <w:tcPr>
            <w:tcW w:w="1049" w:type="dxa"/>
            <w:tcBorders>
              <w:top w:val="nil"/>
              <w:left w:val="nil"/>
              <w:bottom w:val="nil"/>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52.6</w:t>
            </w:r>
          </w:p>
        </w:tc>
        <w:tc>
          <w:tcPr>
            <w:tcW w:w="1049" w:type="dxa"/>
            <w:tcBorders>
              <w:top w:val="nil"/>
              <w:left w:val="nil"/>
              <w:bottom w:val="nil"/>
              <w:right w:val="single" w:sz="4" w:space="0" w:color="auto"/>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34.1</w:t>
            </w:r>
          </w:p>
        </w:tc>
      </w:tr>
      <w:tr w:rsidR="00D62AC0" w:rsidRPr="00D62AC0" w:rsidTr="00D62AC0">
        <w:trPr>
          <w:trHeight w:val="240"/>
        </w:trPr>
        <w:tc>
          <w:tcPr>
            <w:tcW w:w="960" w:type="dxa"/>
            <w:tcBorders>
              <w:top w:val="nil"/>
              <w:left w:val="single" w:sz="4" w:space="0" w:color="auto"/>
              <w:bottom w:val="single" w:sz="4" w:space="0" w:color="auto"/>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b/>
                <w:bCs/>
                <w:color w:val="000000"/>
                <w:sz w:val="18"/>
                <w:szCs w:val="18"/>
              </w:rPr>
            </w:pPr>
            <w:r w:rsidRPr="00D62AC0">
              <w:rPr>
                <w:rFonts w:ascii="Calibri" w:eastAsia="Times New Roman" w:hAnsi="Calibri" w:cs="Calibri"/>
                <w:b/>
                <w:bCs/>
                <w:color w:val="000000"/>
                <w:sz w:val="18"/>
                <w:szCs w:val="18"/>
              </w:rPr>
              <w:t>Home</w:t>
            </w:r>
          </w:p>
        </w:tc>
        <w:tc>
          <w:tcPr>
            <w:tcW w:w="1234"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10.5</w:t>
            </w:r>
          </w:p>
        </w:tc>
        <w:tc>
          <w:tcPr>
            <w:tcW w:w="1234"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32.9</w:t>
            </w:r>
          </w:p>
        </w:tc>
        <w:tc>
          <w:tcPr>
            <w:tcW w:w="1252"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59.3</w:t>
            </w:r>
          </w:p>
        </w:tc>
        <w:tc>
          <w:tcPr>
            <w:tcW w:w="360"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 </w:t>
            </w:r>
          </w:p>
        </w:tc>
        <w:tc>
          <w:tcPr>
            <w:tcW w:w="1003"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94.1</w:t>
            </w:r>
          </w:p>
        </w:tc>
        <w:tc>
          <w:tcPr>
            <w:tcW w:w="1049" w:type="dxa"/>
            <w:tcBorders>
              <w:top w:val="nil"/>
              <w:left w:val="nil"/>
              <w:bottom w:val="single" w:sz="4" w:space="0" w:color="auto"/>
              <w:right w:val="nil"/>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47.0</w:t>
            </w:r>
          </w:p>
        </w:tc>
        <w:tc>
          <w:tcPr>
            <w:tcW w:w="1049" w:type="dxa"/>
            <w:tcBorders>
              <w:top w:val="nil"/>
              <w:left w:val="nil"/>
              <w:bottom w:val="single" w:sz="4" w:space="0" w:color="auto"/>
              <w:right w:val="single" w:sz="4" w:space="0" w:color="auto"/>
            </w:tcBorders>
            <w:shd w:val="clear" w:color="auto" w:fill="auto"/>
            <w:noWrap/>
            <w:vAlign w:val="center"/>
            <w:hideMark/>
          </w:tcPr>
          <w:p w:rsidR="00D62AC0" w:rsidRPr="00D62AC0" w:rsidRDefault="00D62AC0" w:rsidP="00D62AC0">
            <w:pPr>
              <w:spacing w:after="0" w:line="240" w:lineRule="auto"/>
              <w:jc w:val="center"/>
              <w:rPr>
                <w:rFonts w:ascii="Calibri" w:eastAsia="Times New Roman" w:hAnsi="Calibri" w:cs="Calibri"/>
                <w:color w:val="000000"/>
                <w:sz w:val="18"/>
                <w:szCs w:val="18"/>
              </w:rPr>
            </w:pPr>
            <w:r w:rsidRPr="00D62AC0">
              <w:rPr>
                <w:rFonts w:ascii="Calibri" w:eastAsia="Times New Roman" w:hAnsi="Calibri" w:cs="Calibri"/>
                <w:color w:val="000000"/>
                <w:sz w:val="18"/>
                <w:szCs w:val="18"/>
              </w:rPr>
              <w:t>21.4</w:t>
            </w:r>
          </w:p>
        </w:tc>
      </w:tr>
      <w:tr w:rsidR="00D62AC0" w:rsidRPr="00D62AC0" w:rsidTr="00D62AC0">
        <w:trPr>
          <w:trHeight w:val="285"/>
        </w:trPr>
        <w:tc>
          <w:tcPr>
            <w:tcW w:w="960"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right"/>
              <w:rPr>
                <w:rFonts w:ascii="Calibri" w:eastAsia="Times New Roman" w:hAnsi="Calibri" w:cs="Calibri"/>
                <w:color w:val="000000"/>
                <w:sz w:val="18"/>
                <w:szCs w:val="18"/>
              </w:rPr>
            </w:pPr>
          </w:p>
        </w:tc>
        <w:tc>
          <w:tcPr>
            <w:tcW w:w="3720" w:type="dxa"/>
            <w:gridSpan w:val="3"/>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roofErr w:type="spellStart"/>
            <w:r w:rsidRPr="00D62AC0">
              <w:rPr>
                <w:rFonts w:ascii="Calibri" w:eastAsia="Times New Roman" w:hAnsi="Calibri" w:cs="Calibri"/>
                <w:color w:val="000000"/>
                <w:sz w:val="18"/>
                <w:szCs w:val="18"/>
                <w:vertAlign w:val="superscript"/>
              </w:rPr>
              <w:t>a</w:t>
            </w:r>
            <w:r w:rsidRPr="00D62AC0">
              <w:rPr>
                <w:rFonts w:ascii="Calibri" w:eastAsia="Times New Roman" w:hAnsi="Calibri" w:cs="Calibri"/>
                <w:color w:val="000000"/>
                <w:sz w:val="18"/>
                <w:szCs w:val="18"/>
              </w:rPr>
              <w:t>Significantly</w:t>
            </w:r>
            <w:proofErr w:type="spellEnd"/>
            <w:r w:rsidRPr="00D62AC0">
              <w:rPr>
                <w:rFonts w:ascii="Calibri" w:eastAsia="Times New Roman" w:hAnsi="Calibri" w:cs="Calibri"/>
                <w:color w:val="000000"/>
                <w:sz w:val="18"/>
                <w:szCs w:val="18"/>
              </w:rPr>
              <w:t xml:space="preserve"> different from Home</w:t>
            </w:r>
          </w:p>
        </w:tc>
        <w:tc>
          <w:tcPr>
            <w:tcW w:w="360"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49"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49"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r>
      <w:tr w:rsidR="00D62AC0" w:rsidRPr="00D62AC0" w:rsidTr="00D62AC0">
        <w:trPr>
          <w:trHeight w:val="285"/>
        </w:trPr>
        <w:tc>
          <w:tcPr>
            <w:tcW w:w="960"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jc w:val="right"/>
              <w:rPr>
                <w:rFonts w:ascii="Calibri" w:eastAsia="Times New Roman" w:hAnsi="Calibri" w:cs="Calibri"/>
                <w:color w:val="000000"/>
                <w:sz w:val="18"/>
                <w:szCs w:val="18"/>
              </w:rPr>
            </w:pPr>
          </w:p>
        </w:tc>
        <w:tc>
          <w:tcPr>
            <w:tcW w:w="4080" w:type="dxa"/>
            <w:gridSpan w:val="4"/>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roofErr w:type="spellStart"/>
            <w:r w:rsidRPr="00D62AC0">
              <w:rPr>
                <w:rFonts w:ascii="Calibri" w:eastAsia="Times New Roman" w:hAnsi="Calibri" w:cs="Calibri"/>
                <w:color w:val="000000"/>
                <w:sz w:val="18"/>
                <w:szCs w:val="18"/>
                <w:vertAlign w:val="superscript"/>
              </w:rPr>
              <w:t>b</w:t>
            </w:r>
            <w:r w:rsidRPr="00D62AC0">
              <w:rPr>
                <w:rFonts w:ascii="Calibri" w:eastAsia="Times New Roman" w:hAnsi="Calibri" w:cs="Calibri"/>
                <w:color w:val="000000"/>
                <w:sz w:val="18"/>
                <w:szCs w:val="18"/>
              </w:rPr>
              <w:t>Significantly</w:t>
            </w:r>
            <w:proofErr w:type="spellEnd"/>
            <w:r w:rsidRPr="00D62AC0">
              <w:rPr>
                <w:rFonts w:ascii="Calibri" w:eastAsia="Times New Roman" w:hAnsi="Calibri" w:cs="Calibri"/>
                <w:color w:val="000000"/>
                <w:sz w:val="18"/>
                <w:szCs w:val="18"/>
              </w:rPr>
              <w:t xml:space="preserve"> different from Private and Home</w:t>
            </w:r>
          </w:p>
        </w:tc>
        <w:tc>
          <w:tcPr>
            <w:tcW w:w="1003"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49"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c>
          <w:tcPr>
            <w:tcW w:w="1049" w:type="dxa"/>
            <w:tcBorders>
              <w:top w:val="nil"/>
              <w:left w:val="nil"/>
              <w:bottom w:val="nil"/>
              <w:right w:val="nil"/>
            </w:tcBorders>
            <w:shd w:val="clear" w:color="auto" w:fill="auto"/>
            <w:noWrap/>
            <w:vAlign w:val="bottom"/>
            <w:hideMark/>
          </w:tcPr>
          <w:p w:rsidR="00D62AC0" w:rsidRPr="00D62AC0" w:rsidRDefault="00D62AC0" w:rsidP="00D62AC0">
            <w:pPr>
              <w:spacing w:after="0" w:line="240" w:lineRule="auto"/>
              <w:rPr>
                <w:rFonts w:ascii="Calibri" w:eastAsia="Times New Roman" w:hAnsi="Calibri" w:cs="Calibri"/>
                <w:color w:val="000000"/>
                <w:sz w:val="18"/>
                <w:szCs w:val="18"/>
              </w:rPr>
            </w:pPr>
          </w:p>
        </w:tc>
      </w:tr>
    </w:tbl>
    <w:p w:rsidR="00D62AC0" w:rsidRDefault="00D62AC0" w:rsidP="003C6D60"/>
    <w:p w:rsidR="00D62AC0" w:rsidRDefault="0024790A">
      <w:r>
        <w:t xml:space="preserve">Breastfeeding practices have seen remarkable improvement over the last decade and the improvement has been equitable. This analysis shows that improvements in </w:t>
      </w:r>
      <w:proofErr w:type="spellStart"/>
      <w:r>
        <w:t>prelacteal</w:t>
      </w:r>
      <w:proofErr w:type="spellEnd"/>
      <w:r>
        <w:t xml:space="preserve"> feeding mirrored those of early initiation. This is not surprising as the two indicators have a causal relationship. </w:t>
      </w:r>
      <w:proofErr w:type="spellStart"/>
      <w:r>
        <w:t>Prelacteal</w:t>
      </w:r>
      <w:proofErr w:type="spellEnd"/>
      <w:r>
        <w:t xml:space="preserve"> feeding was the major reason for not initiating breastfeeding early. The analysis also shows that the public health </w:t>
      </w:r>
      <w:r>
        <w:lastRenderedPageBreak/>
        <w:t xml:space="preserve">sector has played an important role in the improvements, but at the same time the private sector is undermining public health efforts around breastfeeding by promoting infant formula. </w:t>
      </w:r>
    </w:p>
    <w:p w:rsidR="0024790A" w:rsidRDefault="0024790A"/>
    <w:p w:rsidR="0024790A" w:rsidRDefault="0024790A"/>
    <w:p w:rsidR="00D62AC0" w:rsidRDefault="00B23ACD" w:rsidP="003C6D60">
      <w:r>
        <w:br w:type="page"/>
      </w:r>
    </w:p>
    <w:p w:rsidR="00D62AC0" w:rsidRDefault="00D62AC0" w:rsidP="00D62AC0">
      <w:pPr>
        <w:pStyle w:val="Heading2"/>
      </w:pPr>
      <w:bookmarkStart w:id="31" w:name="_Toc346097187"/>
      <w:r>
        <w:lastRenderedPageBreak/>
        <w:t>Formula</w:t>
      </w:r>
      <w:bookmarkEnd w:id="31"/>
    </w:p>
    <w:p w:rsidR="00D62AC0" w:rsidRDefault="00D62AC0" w:rsidP="00D62AC0"/>
    <w:p w:rsidR="0024322C" w:rsidRDefault="00AF26DD" w:rsidP="00534C22">
      <w:r>
        <w:t>In Cambodia nearly all children are breastfed</w:t>
      </w:r>
      <w:r w:rsidR="003B500F">
        <w:t xml:space="preserve"> and from 2000 to 2010 more women started to breastfeed immediately after birth and more women started to give only </w:t>
      </w:r>
      <w:proofErr w:type="spellStart"/>
      <w:r w:rsidR="003B500F">
        <w:t>breastmilk</w:t>
      </w:r>
      <w:proofErr w:type="spellEnd"/>
      <w:r w:rsidR="003B500F">
        <w:t xml:space="preserve"> for the first six months. Over the same time period there was substantial economic development and there is a growing concern in the country over the promotion of infant formula. DHS reports do not provide a national estimate for formula use, but do provide estimates</w:t>
      </w:r>
      <w:r w:rsidR="006A4C9D">
        <w:t xml:space="preserve"> for children less than 3 years</w:t>
      </w:r>
      <w:r w:rsidR="003B500F">
        <w:t xml:space="preserve"> disaggregated by breastfeeding status. Among breastfeeding children infant formula use increased from 0.1% in 2000, to 3.5% in 2005, to 4.7% in 2010. Among non-breastfed children infant formula increased from 0.3% in 2000, to 11.1% in 2005, to 25.5% in 2010.</w:t>
      </w:r>
      <w:r w:rsidR="006A4C9D">
        <w:t xml:space="preserve"> Table </w:t>
      </w:r>
      <w:r w:rsidR="008C6692">
        <w:t>7</w:t>
      </w:r>
      <w:r w:rsidR="006A4C9D">
        <w:t xml:space="preserve"> provides national estimates for children under 2, and the data shows that there have been statistically significant increases from survey to survey. There has been a steady increase of </w:t>
      </w:r>
      <w:r w:rsidR="00E56D30">
        <w:t>two</w:t>
      </w:r>
      <w:r w:rsidR="006A4C9D">
        <w:t xml:space="preserve"> percentage points per year.</w:t>
      </w:r>
      <w:r w:rsidR="0024322C">
        <w:t xml:space="preserve"> In the last five years all of the increase has happened in children older than six months. </w:t>
      </w:r>
      <w:r w:rsidR="003735BF">
        <w:t xml:space="preserve"> </w:t>
      </w:r>
    </w:p>
    <w:p w:rsidR="00976AF8" w:rsidRDefault="00976AF8" w:rsidP="00976AF8">
      <w:pPr>
        <w:pStyle w:val="Caption"/>
        <w:keepNext/>
      </w:pPr>
      <w:bookmarkStart w:id="32" w:name="_Toc346097136"/>
      <w:proofErr w:type="gramStart"/>
      <w:r>
        <w:t xml:space="preserve">Table </w:t>
      </w:r>
      <w:proofErr w:type="gramEnd"/>
      <w:r w:rsidR="00E56D30">
        <w:fldChar w:fldCharType="begin"/>
      </w:r>
      <w:r w:rsidR="00E56D30">
        <w:instrText xml:space="preserve"> SEQ Table \* ARABIC </w:instrText>
      </w:r>
      <w:r w:rsidR="00E56D30">
        <w:fldChar w:fldCharType="separate"/>
      </w:r>
      <w:r w:rsidR="00E56D30">
        <w:rPr>
          <w:noProof/>
        </w:rPr>
        <w:t>7</w:t>
      </w:r>
      <w:r w:rsidR="00E56D30">
        <w:rPr>
          <w:noProof/>
        </w:rPr>
        <w:fldChar w:fldCharType="end"/>
      </w:r>
      <w:proofErr w:type="gramStart"/>
      <w:r>
        <w:t>.</w:t>
      </w:r>
      <w:proofErr w:type="gramEnd"/>
      <w:r>
        <w:t xml:space="preserve"> Formula use by residence, wealth, and age of child, CDHS 2000-2010</w:t>
      </w:r>
      <w:bookmarkEnd w:id="32"/>
    </w:p>
    <w:tbl>
      <w:tblPr>
        <w:tblW w:w="9600" w:type="dxa"/>
        <w:tblInd w:w="93" w:type="dxa"/>
        <w:tblLook w:val="04A0" w:firstRow="1" w:lastRow="0" w:firstColumn="1" w:lastColumn="0" w:noHBand="0" w:noVBand="1"/>
      </w:tblPr>
      <w:tblGrid>
        <w:gridCol w:w="960"/>
        <w:gridCol w:w="1030"/>
        <w:gridCol w:w="1184"/>
        <w:gridCol w:w="666"/>
        <w:gridCol w:w="1030"/>
        <w:gridCol w:w="1184"/>
        <w:gridCol w:w="666"/>
        <w:gridCol w:w="1030"/>
        <w:gridCol w:w="1184"/>
        <w:gridCol w:w="666"/>
      </w:tblGrid>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2000</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2005</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2010</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p>
        </w:tc>
        <w:tc>
          <w:tcPr>
            <w:tcW w:w="1030" w:type="dxa"/>
            <w:tcBorders>
              <w:top w:val="nil"/>
              <w:left w:val="single" w:sz="4" w:space="0" w:color="auto"/>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0-5 </w:t>
            </w:r>
            <w:proofErr w:type="spellStart"/>
            <w:r w:rsidRPr="0024322C">
              <w:rPr>
                <w:rFonts w:ascii="Calibri" w:eastAsia="Times New Roman" w:hAnsi="Calibri" w:cs="Times New Roman"/>
                <w:color w:val="000000"/>
                <w:sz w:val="20"/>
                <w:szCs w:val="20"/>
              </w:rPr>
              <w:t>mos</w:t>
            </w:r>
            <w:proofErr w:type="spellEnd"/>
          </w:p>
        </w:tc>
        <w:tc>
          <w:tcPr>
            <w:tcW w:w="1184" w:type="dxa"/>
            <w:tcBorders>
              <w:top w:val="nil"/>
              <w:left w:val="nil"/>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6-23 </w:t>
            </w:r>
            <w:proofErr w:type="spellStart"/>
            <w:r w:rsidRPr="0024322C">
              <w:rPr>
                <w:rFonts w:ascii="Calibri" w:eastAsia="Times New Roman" w:hAnsi="Calibri" w:cs="Times New Roman"/>
                <w:color w:val="000000"/>
                <w:sz w:val="20"/>
                <w:szCs w:val="20"/>
              </w:rPr>
              <w:t>mos</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Total</w:t>
            </w:r>
          </w:p>
        </w:tc>
        <w:tc>
          <w:tcPr>
            <w:tcW w:w="1030" w:type="dxa"/>
            <w:tcBorders>
              <w:top w:val="nil"/>
              <w:left w:val="nil"/>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0-5 </w:t>
            </w:r>
            <w:proofErr w:type="spellStart"/>
            <w:r w:rsidRPr="0024322C">
              <w:rPr>
                <w:rFonts w:ascii="Calibri" w:eastAsia="Times New Roman" w:hAnsi="Calibri" w:cs="Times New Roman"/>
                <w:color w:val="000000"/>
                <w:sz w:val="20"/>
                <w:szCs w:val="20"/>
              </w:rPr>
              <w:t>mos</w:t>
            </w:r>
            <w:proofErr w:type="spellEnd"/>
          </w:p>
        </w:tc>
        <w:tc>
          <w:tcPr>
            <w:tcW w:w="1184" w:type="dxa"/>
            <w:tcBorders>
              <w:top w:val="nil"/>
              <w:left w:val="nil"/>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6-23 </w:t>
            </w:r>
            <w:proofErr w:type="spellStart"/>
            <w:r w:rsidRPr="0024322C">
              <w:rPr>
                <w:rFonts w:ascii="Calibri" w:eastAsia="Times New Roman" w:hAnsi="Calibri" w:cs="Times New Roman"/>
                <w:color w:val="000000"/>
                <w:sz w:val="20"/>
                <w:szCs w:val="20"/>
              </w:rPr>
              <w:t>mos</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Total</w:t>
            </w:r>
          </w:p>
        </w:tc>
        <w:tc>
          <w:tcPr>
            <w:tcW w:w="1030" w:type="dxa"/>
            <w:tcBorders>
              <w:top w:val="nil"/>
              <w:left w:val="nil"/>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0-5 </w:t>
            </w:r>
            <w:proofErr w:type="spellStart"/>
            <w:r w:rsidRPr="0024322C">
              <w:rPr>
                <w:rFonts w:ascii="Calibri" w:eastAsia="Times New Roman" w:hAnsi="Calibri" w:cs="Times New Roman"/>
                <w:color w:val="000000"/>
                <w:sz w:val="20"/>
                <w:szCs w:val="20"/>
              </w:rPr>
              <w:t>mos</w:t>
            </w:r>
            <w:proofErr w:type="spellEnd"/>
          </w:p>
        </w:tc>
        <w:tc>
          <w:tcPr>
            <w:tcW w:w="1184" w:type="dxa"/>
            <w:tcBorders>
              <w:top w:val="nil"/>
              <w:left w:val="nil"/>
              <w:bottom w:val="single" w:sz="4" w:space="0" w:color="auto"/>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 xml:space="preserve">6-23 </w:t>
            </w:r>
            <w:proofErr w:type="spellStart"/>
            <w:r w:rsidRPr="0024322C">
              <w:rPr>
                <w:rFonts w:ascii="Calibri" w:eastAsia="Times New Roman" w:hAnsi="Calibri" w:cs="Times New Roman"/>
                <w:color w:val="000000"/>
                <w:sz w:val="20"/>
                <w:szCs w:val="20"/>
              </w:rPr>
              <w:t>mos</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Total</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TOTAL</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3.4</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4.8</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4.4</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7.0</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6.5</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6.7</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6.8</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9.3</w:t>
            </w:r>
          </w:p>
        </w:tc>
        <w:tc>
          <w:tcPr>
            <w:tcW w:w="666" w:type="dxa"/>
            <w:tcBorders>
              <w:top w:val="nil"/>
              <w:left w:val="nil"/>
              <w:bottom w:val="nil"/>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b/>
                <w:bCs/>
                <w:color w:val="000000"/>
                <w:sz w:val="20"/>
                <w:szCs w:val="20"/>
              </w:rPr>
            </w:pPr>
            <w:r w:rsidRPr="0024322C">
              <w:rPr>
                <w:rFonts w:ascii="Calibri" w:eastAsia="Times New Roman" w:hAnsi="Calibri" w:cs="Times New Roman"/>
                <w:b/>
                <w:bCs/>
                <w:color w:val="000000"/>
                <w:sz w:val="20"/>
                <w:szCs w:val="20"/>
              </w:rPr>
              <w:t>8.7</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urban</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11.8</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17.2</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15.7</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19.6</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18.6</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18.9</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20.8</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32.6</w:t>
            </w:r>
          </w:p>
        </w:tc>
        <w:tc>
          <w:tcPr>
            <w:tcW w:w="666" w:type="dxa"/>
            <w:tcBorders>
              <w:top w:val="nil"/>
              <w:left w:val="nil"/>
              <w:bottom w:val="nil"/>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30.0</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rural</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2.1</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2.9</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2.7</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4.9</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4.5</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4.6</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4.1</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4.7</w:t>
            </w:r>
          </w:p>
        </w:tc>
        <w:tc>
          <w:tcPr>
            <w:tcW w:w="666" w:type="dxa"/>
            <w:tcBorders>
              <w:top w:val="nil"/>
              <w:left w:val="nil"/>
              <w:bottom w:val="nil"/>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4.6</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Q5</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13.7</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21.0</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18.8</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25.4</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25.3</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25.3</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21.3</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34.7</w:t>
            </w:r>
          </w:p>
        </w:tc>
        <w:tc>
          <w:tcPr>
            <w:tcW w:w="666" w:type="dxa"/>
            <w:tcBorders>
              <w:top w:val="nil"/>
              <w:left w:val="nil"/>
              <w:bottom w:val="nil"/>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31.9</w:t>
            </w:r>
          </w:p>
        </w:tc>
      </w:tr>
      <w:tr w:rsidR="0024322C" w:rsidRPr="0024322C" w:rsidTr="0024322C">
        <w:trPr>
          <w:trHeight w:val="255"/>
        </w:trPr>
        <w:tc>
          <w:tcPr>
            <w:tcW w:w="960"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Q1</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0.3</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1.6</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1.2</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0.0</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0.6</w:t>
            </w:r>
          </w:p>
        </w:tc>
        <w:tc>
          <w:tcPr>
            <w:tcW w:w="666"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0.4</w:t>
            </w:r>
          </w:p>
        </w:tc>
        <w:tc>
          <w:tcPr>
            <w:tcW w:w="1030" w:type="dxa"/>
            <w:tcBorders>
              <w:top w:val="nil"/>
              <w:left w:val="single" w:sz="4" w:space="0" w:color="auto"/>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1.6</w:t>
            </w:r>
          </w:p>
        </w:tc>
        <w:tc>
          <w:tcPr>
            <w:tcW w:w="1184" w:type="dxa"/>
            <w:tcBorders>
              <w:top w:val="nil"/>
              <w:left w:val="nil"/>
              <w:bottom w:val="nil"/>
              <w:right w:val="nil"/>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0.6</w:t>
            </w:r>
          </w:p>
        </w:tc>
        <w:tc>
          <w:tcPr>
            <w:tcW w:w="666" w:type="dxa"/>
            <w:tcBorders>
              <w:top w:val="nil"/>
              <w:left w:val="nil"/>
              <w:bottom w:val="nil"/>
              <w:right w:val="single" w:sz="4" w:space="0" w:color="auto"/>
            </w:tcBorders>
            <w:shd w:val="clear" w:color="auto" w:fill="auto"/>
            <w:noWrap/>
            <w:vAlign w:val="bottom"/>
            <w:hideMark/>
          </w:tcPr>
          <w:p w:rsidR="0024322C" w:rsidRPr="0024322C" w:rsidRDefault="0024322C" w:rsidP="0024322C">
            <w:pPr>
              <w:spacing w:after="0" w:line="240" w:lineRule="auto"/>
              <w:jc w:val="center"/>
              <w:rPr>
                <w:rFonts w:ascii="Calibri" w:eastAsia="Times New Roman" w:hAnsi="Calibri" w:cs="Times New Roman"/>
                <w:color w:val="000000"/>
                <w:sz w:val="20"/>
                <w:szCs w:val="20"/>
              </w:rPr>
            </w:pPr>
            <w:r w:rsidRPr="0024322C">
              <w:rPr>
                <w:rFonts w:ascii="Calibri" w:eastAsia="Times New Roman" w:hAnsi="Calibri" w:cs="Times New Roman"/>
                <w:color w:val="000000"/>
                <w:sz w:val="20"/>
                <w:szCs w:val="20"/>
              </w:rPr>
              <w:t>0.9</w:t>
            </w:r>
          </w:p>
        </w:tc>
      </w:tr>
    </w:tbl>
    <w:p w:rsidR="006A4C9D" w:rsidRDefault="006A4C9D" w:rsidP="00D62AC0">
      <w:pPr>
        <w:rPr>
          <w:rFonts w:ascii="Times New Roman" w:hAnsi="Times New Roman" w:cs="Times New Roman"/>
          <w:sz w:val="24"/>
          <w:szCs w:val="24"/>
        </w:rPr>
      </w:pPr>
    </w:p>
    <w:p w:rsidR="00AF26DD" w:rsidRDefault="00B23ACD" w:rsidP="00534C22">
      <w:r>
        <w:rPr>
          <w:noProof/>
        </w:rPr>
        <mc:AlternateContent>
          <mc:Choice Requires="wps">
            <w:drawing>
              <wp:anchor distT="0" distB="0" distL="114300" distR="114300" simplePos="0" relativeHeight="251683840" behindDoc="0" locked="0" layoutInCell="1" allowOverlap="1" wp14:anchorId="121BD458" wp14:editId="50ADF9CD">
                <wp:simplePos x="0" y="0"/>
                <wp:positionH relativeFrom="column">
                  <wp:posOffset>2486025</wp:posOffset>
                </wp:positionH>
                <wp:positionV relativeFrom="paragraph">
                  <wp:posOffset>1254125</wp:posOffset>
                </wp:positionV>
                <wp:extent cx="3781425" cy="180975"/>
                <wp:effectExtent l="0" t="0" r="9525" b="9525"/>
                <wp:wrapSquare wrapText="bothSides"/>
                <wp:docPr id="37" name="Text Box 37"/>
                <wp:cNvGraphicFramePr/>
                <a:graphic xmlns:a="http://schemas.openxmlformats.org/drawingml/2006/main">
                  <a:graphicData uri="http://schemas.microsoft.com/office/word/2010/wordprocessingShape">
                    <wps:wsp>
                      <wps:cNvSpPr txBox="1"/>
                      <wps:spPr>
                        <a:xfrm>
                          <a:off x="0" y="0"/>
                          <a:ext cx="3781425" cy="180975"/>
                        </a:xfrm>
                        <a:prstGeom prst="rect">
                          <a:avLst/>
                        </a:prstGeom>
                        <a:solidFill>
                          <a:prstClr val="white"/>
                        </a:solidFill>
                        <a:ln>
                          <a:noFill/>
                        </a:ln>
                        <a:effectLst/>
                      </wps:spPr>
                      <wps:txbx>
                        <w:txbxContent>
                          <w:p w:rsidR="00E56D30" w:rsidRDefault="00E56D30" w:rsidP="00B23ACD">
                            <w:pPr>
                              <w:pStyle w:val="Caption"/>
                              <w:rPr>
                                <w:noProof/>
                              </w:rPr>
                            </w:pPr>
                            <w:bookmarkStart w:id="33" w:name="_Toc346097112"/>
                            <w:proofErr w:type="gramStart"/>
                            <w:r>
                              <w:t xml:space="preserve">Figure </w:t>
                            </w:r>
                            <w:r>
                              <w:fldChar w:fldCharType="begin"/>
                            </w:r>
                            <w:r>
                              <w:instrText xml:space="preserve"> SEQ Figure \* ARABIC </w:instrText>
                            </w:r>
                            <w:r>
                              <w:fldChar w:fldCharType="separate"/>
                            </w:r>
                            <w:r>
                              <w:rPr>
                                <w:noProof/>
                              </w:rPr>
                              <w:t>10</w:t>
                            </w:r>
                            <w:r>
                              <w:rPr>
                                <w:noProof/>
                              </w:rPr>
                              <w:fldChar w:fldCharType="end"/>
                            </w:r>
                            <w:r>
                              <w:t>.</w:t>
                            </w:r>
                            <w:proofErr w:type="gramEnd"/>
                            <w:r>
                              <w:t xml:space="preserve"> Trends in formula use: Urban and Rural by wealth, CDHS 2000-2010</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2" type="#_x0000_t202" style="position:absolute;margin-left:195.75pt;margin-top:98.75pt;width:297.7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" stroked="f">
                <v:textbox inset="0,0,0,0">
                  <w:txbxContent>
                    <w:p w:rsidR="00E56D30" w:rsidRDefault="00E56D30" w:rsidP="00B23ACD">
                      <w:pPr>
                        <w:pStyle w:val="Caption"/>
                        <w:rPr>
                          <w:noProof/>
                        </w:rPr>
                      </w:pPr>
                      <w:bookmarkStart w:id="34" w:name="_Toc346097112"/>
                      <w:proofErr w:type="gramStart"/>
                      <w:r>
                        <w:t xml:space="preserve">Figure </w:t>
                      </w:r>
                      <w:r>
                        <w:fldChar w:fldCharType="begin"/>
                      </w:r>
                      <w:r>
                        <w:instrText xml:space="preserve"> SEQ Figure \* ARABIC </w:instrText>
                      </w:r>
                      <w:r>
                        <w:fldChar w:fldCharType="separate"/>
                      </w:r>
                      <w:r>
                        <w:rPr>
                          <w:noProof/>
                        </w:rPr>
                        <w:t>10</w:t>
                      </w:r>
                      <w:r>
                        <w:rPr>
                          <w:noProof/>
                        </w:rPr>
                        <w:fldChar w:fldCharType="end"/>
                      </w:r>
                      <w:r>
                        <w:t>.</w:t>
                      </w:r>
                      <w:proofErr w:type="gramEnd"/>
                      <w:r>
                        <w:t xml:space="preserve"> Trends in formula use: Urban and Rural by wealth, CDHS 2000-2010</w:t>
                      </w:r>
                      <w:bookmarkEnd w:id="34"/>
                    </w:p>
                  </w:txbxContent>
                </v:textbox>
                <w10:wrap type="square"/>
              </v:shape>
            </w:pict>
          </mc:Fallback>
        </mc:AlternateContent>
      </w:r>
      <w:r w:rsidR="003735BF">
        <w:rPr>
          <w:noProof/>
        </w:rPr>
        <w:drawing>
          <wp:anchor distT="0" distB="0" distL="114300" distR="114300" simplePos="0" relativeHeight="251668480" behindDoc="0" locked="0" layoutInCell="1" allowOverlap="1" wp14:anchorId="3D551267" wp14:editId="03AFC699">
            <wp:simplePos x="0" y="0"/>
            <wp:positionH relativeFrom="margin">
              <wp:posOffset>2333625</wp:posOffset>
            </wp:positionH>
            <wp:positionV relativeFrom="margin">
              <wp:posOffset>6076950</wp:posOffset>
            </wp:positionV>
            <wp:extent cx="3781425" cy="2428875"/>
            <wp:effectExtent l="0" t="0" r="9525"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6A4C9D">
        <w:t xml:space="preserve">The DHS reports do not show infant formula use by socio-economic characteristics. It is evident from the previous table that </w:t>
      </w:r>
      <w:r w:rsidR="00B50247">
        <w:t>most formula is consumed by the wealthy in urban areas; looking at formula use by wealth and residence provides further insight into trends</w:t>
      </w:r>
      <w:r w:rsidR="00B50247" w:rsidRPr="008C6692">
        <w:t>.</w:t>
      </w:r>
      <w:r w:rsidR="006A4C9D" w:rsidRPr="008C6692">
        <w:t xml:space="preserve"> Figure </w:t>
      </w:r>
      <w:r w:rsidR="008C6692" w:rsidRPr="008C6692">
        <w:t>10</w:t>
      </w:r>
      <w:r w:rsidR="006A4C9D">
        <w:t xml:space="preserve"> show</w:t>
      </w:r>
      <w:r w:rsidR="00B50247">
        <w:t>s</w:t>
      </w:r>
      <w:r w:rsidR="006A4C9D">
        <w:t xml:space="preserve"> that</w:t>
      </w:r>
      <w:r w:rsidR="00B50247">
        <w:t xml:space="preserve"> from 2000 to 2005 the increase came among wealthy households in rural households. However, over the last five years it is among the urban wealth</w:t>
      </w:r>
      <w:r w:rsidR="0024322C">
        <w:t>y</w:t>
      </w:r>
      <w:r w:rsidR="00B50247">
        <w:t xml:space="preserve"> that formula use has increased.</w:t>
      </w:r>
      <w:r w:rsidR="006A4C9D">
        <w:t xml:space="preserve"> </w:t>
      </w:r>
      <w:r w:rsidR="003B500F">
        <w:t xml:space="preserve"> </w:t>
      </w:r>
    </w:p>
    <w:p w:rsidR="003735BF" w:rsidRDefault="0024322C" w:rsidP="00534C22">
      <w:r>
        <w:t xml:space="preserve">Looking at trends in formula use by age, residence and </w:t>
      </w:r>
      <w:r w:rsidRPr="008C6692">
        <w:t xml:space="preserve">wealth (Figures </w:t>
      </w:r>
      <w:r w:rsidR="008C6692" w:rsidRPr="008C6692">
        <w:t>11</w:t>
      </w:r>
      <w:r w:rsidRPr="008C6692">
        <w:t xml:space="preserve"> and </w:t>
      </w:r>
      <w:r w:rsidR="008C6692" w:rsidRPr="008C6692">
        <w:t>12</w:t>
      </w:r>
      <w:r w:rsidRPr="008C6692">
        <w:t>)</w:t>
      </w:r>
      <w:r>
        <w:t xml:space="preserve"> gives a more nuanced picture of trends in the country. For children less than six months there were large increases from 2000 to 2005, but after 2005 formula use has decreased or stagnated for all groups. This is likely the result of t</w:t>
      </w:r>
      <w:r w:rsidR="003735BF">
        <w:t xml:space="preserve">he heavy focus of public health campaigns on exclusive breastfeeding for the first six months. It appears that breastfeeding protection efforts have been effective </w:t>
      </w:r>
      <w:r w:rsidR="003735BF">
        <w:lastRenderedPageBreak/>
        <w:t>for the youngest children. Neighboring countries in the region that have experienced similar economic development see large increases in formula use for children less than six months.</w:t>
      </w:r>
    </w:p>
    <w:p w:rsidR="003735BF" w:rsidRDefault="00EC0C42" w:rsidP="00534C22">
      <w:r>
        <w:rPr>
          <w:noProof/>
        </w:rPr>
        <w:drawing>
          <wp:anchor distT="0" distB="0" distL="114300" distR="114300" simplePos="0" relativeHeight="251670528" behindDoc="0" locked="0" layoutInCell="1" allowOverlap="1" wp14:anchorId="5A7BAF8A" wp14:editId="560A1846">
            <wp:simplePos x="0" y="0"/>
            <wp:positionH relativeFrom="margin">
              <wp:posOffset>2400300</wp:posOffset>
            </wp:positionH>
            <wp:positionV relativeFrom="margin">
              <wp:posOffset>2895600</wp:posOffset>
            </wp:positionV>
            <wp:extent cx="3619500" cy="2200275"/>
            <wp:effectExtent l="0" t="0" r="19050" b="952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534C22">
        <w:rPr>
          <w:noProof/>
        </w:rPr>
        <mc:AlternateContent>
          <mc:Choice Requires="wps">
            <w:drawing>
              <wp:anchor distT="0" distB="0" distL="114300" distR="114300" simplePos="0" relativeHeight="251687936" behindDoc="0" locked="0" layoutInCell="1" allowOverlap="1" wp14:anchorId="3E2DA121" wp14:editId="778B5663">
                <wp:simplePos x="0" y="0"/>
                <wp:positionH relativeFrom="column">
                  <wp:posOffset>2533650</wp:posOffset>
                </wp:positionH>
                <wp:positionV relativeFrom="paragraph">
                  <wp:posOffset>2035175</wp:posOffset>
                </wp:positionV>
                <wp:extent cx="3619500" cy="3429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619500" cy="342900"/>
                        </a:xfrm>
                        <a:prstGeom prst="rect">
                          <a:avLst/>
                        </a:prstGeom>
                        <a:solidFill>
                          <a:prstClr val="white"/>
                        </a:solidFill>
                        <a:ln>
                          <a:noFill/>
                        </a:ln>
                        <a:effectLst/>
                      </wps:spPr>
                      <wps:txbx>
                        <w:txbxContent>
                          <w:p w:rsidR="00E56D30" w:rsidRDefault="00E56D30" w:rsidP="00B23ACD">
                            <w:pPr>
                              <w:pStyle w:val="Caption"/>
                              <w:rPr>
                                <w:noProof/>
                              </w:rPr>
                            </w:pPr>
                            <w:bookmarkStart w:id="35" w:name="_Toc346097114"/>
                            <w:proofErr w:type="gramStart"/>
                            <w:r>
                              <w:t xml:space="preserve">Figure </w:t>
                            </w:r>
                            <w:r>
                              <w:fldChar w:fldCharType="begin"/>
                            </w:r>
                            <w:r>
                              <w:instrText xml:space="preserve"> SEQ Figure \* ARABIC </w:instrText>
                            </w:r>
                            <w:r>
                              <w:fldChar w:fldCharType="separate"/>
                            </w:r>
                            <w:r>
                              <w:rPr>
                                <w:noProof/>
                              </w:rPr>
                              <w:t>12</w:t>
                            </w:r>
                            <w:r>
                              <w:rPr>
                                <w:noProof/>
                              </w:rPr>
                              <w:fldChar w:fldCharType="end"/>
                            </w:r>
                            <w:r>
                              <w:t>.</w:t>
                            </w:r>
                            <w:proofErr w:type="gramEnd"/>
                            <w:r>
                              <w:t xml:space="preserve"> Trend in formula use among children 6-23 months, CDHS 2000-2010</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3" type="#_x0000_t202" style="position:absolute;margin-left:199.5pt;margin-top:160.25pt;width:28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" stroked="f">
                <v:textbox inset="0,0,0,0">
                  <w:txbxContent>
                    <w:p w:rsidR="00E56D30" w:rsidRDefault="00E56D30" w:rsidP="00B23ACD">
                      <w:pPr>
                        <w:pStyle w:val="Caption"/>
                        <w:rPr>
                          <w:noProof/>
                        </w:rPr>
                      </w:pPr>
                      <w:bookmarkStart w:id="36" w:name="_Toc346097114"/>
                      <w:proofErr w:type="gramStart"/>
                      <w:r>
                        <w:t xml:space="preserve">Figure </w:t>
                      </w:r>
                      <w:r>
                        <w:fldChar w:fldCharType="begin"/>
                      </w:r>
                      <w:r>
                        <w:instrText xml:space="preserve"> SEQ Figure \* ARABIC </w:instrText>
                      </w:r>
                      <w:r>
                        <w:fldChar w:fldCharType="separate"/>
                      </w:r>
                      <w:r>
                        <w:rPr>
                          <w:noProof/>
                        </w:rPr>
                        <w:t>12</w:t>
                      </w:r>
                      <w:r>
                        <w:rPr>
                          <w:noProof/>
                        </w:rPr>
                        <w:fldChar w:fldCharType="end"/>
                      </w:r>
                      <w:r>
                        <w:t>.</w:t>
                      </w:r>
                      <w:proofErr w:type="gramEnd"/>
                      <w:r>
                        <w:t xml:space="preserve"> Trend in formula use among children 6-23 months, CDHS 2000-2010</w:t>
                      </w:r>
                      <w:bookmarkEnd w:id="36"/>
                    </w:p>
                  </w:txbxContent>
                </v:textbox>
                <w10:wrap type="square"/>
              </v:shape>
            </w:pict>
          </mc:Fallback>
        </mc:AlternateContent>
      </w:r>
      <w:r w:rsidR="00534C22">
        <w:rPr>
          <w:noProof/>
        </w:rPr>
        <mc:AlternateContent>
          <mc:Choice Requires="wps">
            <w:drawing>
              <wp:anchor distT="0" distB="0" distL="114300" distR="114300" simplePos="0" relativeHeight="251685888" behindDoc="0" locked="0" layoutInCell="1" allowOverlap="1" wp14:anchorId="377E0748" wp14:editId="78EA1D9C">
                <wp:simplePos x="0" y="0"/>
                <wp:positionH relativeFrom="column">
                  <wp:posOffset>2190750</wp:posOffset>
                </wp:positionH>
                <wp:positionV relativeFrom="paragraph">
                  <wp:posOffset>-655320</wp:posOffset>
                </wp:positionV>
                <wp:extent cx="3733800" cy="200025"/>
                <wp:effectExtent l="0" t="0" r="0" b="9525"/>
                <wp:wrapSquare wrapText="bothSides"/>
                <wp:docPr id="38" name="Text Box 38"/>
                <wp:cNvGraphicFramePr/>
                <a:graphic xmlns:a="http://schemas.openxmlformats.org/drawingml/2006/main">
                  <a:graphicData uri="http://schemas.microsoft.com/office/word/2010/wordprocessingShape">
                    <wps:wsp>
                      <wps:cNvSpPr txBox="1"/>
                      <wps:spPr>
                        <a:xfrm>
                          <a:off x="0" y="0"/>
                          <a:ext cx="3733800" cy="200025"/>
                        </a:xfrm>
                        <a:prstGeom prst="rect">
                          <a:avLst/>
                        </a:prstGeom>
                        <a:solidFill>
                          <a:prstClr val="white"/>
                        </a:solidFill>
                        <a:ln>
                          <a:noFill/>
                        </a:ln>
                        <a:effectLst/>
                      </wps:spPr>
                      <wps:txbx>
                        <w:txbxContent>
                          <w:p w:rsidR="00E56D30" w:rsidRDefault="00E56D30" w:rsidP="00B23ACD">
                            <w:pPr>
                              <w:pStyle w:val="Caption"/>
                              <w:rPr>
                                <w:noProof/>
                              </w:rPr>
                            </w:pPr>
                            <w:bookmarkStart w:id="37" w:name="_Toc346097113"/>
                            <w:proofErr w:type="gramStart"/>
                            <w:r>
                              <w:t xml:space="preserve">Figure </w:t>
                            </w:r>
                            <w:r>
                              <w:fldChar w:fldCharType="begin"/>
                            </w:r>
                            <w:r>
                              <w:instrText xml:space="preserve"> SEQ Figure \* ARABIC </w:instrText>
                            </w:r>
                            <w:r>
                              <w:fldChar w:fldCharType="separate"/>
                            </w:r>
                            <w:r>
                              <w:rPr>
                                <w:noProof/>
                              </w:rPr>
                              <w:t>11</w:t>
                            </w:r>
                            <w:r>
                              <w:rPr>
                                <w:noProof/>
                              </w:rPr>
                              <w:fldChar w:fldCharType="end"/>
                            </w:r>
                            <w:r>
                              <w:t>.</w:t>
                            </w:r>
                            <w:proofErr w:type="gramEnd"/>
                            <w:r>
                              <w:t xml:space="preserve"> Trend in formula use among children 0-5 months</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4" type="#_x0000_t202" style="position:absolute;margin-left:172.5pt;margin-top:-51.6pt;width:294pt;height:1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" stroked="f">
                <v:textbox inset="0,0,0,0">
                  <w:txbxContent>
                    <w:p w:rsidR="00E56D30" w:rsidRDefault="00E56D30" w:rsidP="00B23ACD">
                      <w:pPr>
                        <w:pStyle w:val="Caption"/>
                        <w:rPr>
                          <w:noProof/>
                        </w:rPr>
                      </w:pPr>
                      <w:bookmarkStart w:id="38" w:name="_Toc346097113"/>
                      <w:proofErr w:type="gramStart"/>
                      <w:r>
                        <w:t xml:space="preserve">Figure </w:t>
                      </w:r>
                      <w:r>
                        <w:fldChar w:fldCharType="begin"/>
                      </w:r>
                      <w:r>
                        <w:instrText xml:space="preserve"> SEQ Figure \* ARABIC </w:instrText>
                      </w:r>
                      <w:r>
                        <w:fldChar w:fldCharType="separate"/>
                      </w:r>
                      <w:r>
                        <w:rPr>
                          <w:noProof/>
                        </w:rPr>
                        <w:t>11</w:t>
                      </w:r>
                      <w:r>
                        <w:rPr>
                          <w:noProof/>
                        </w:rPr>
                        <w:fldChar w:fldCharType="end"/>
                      </w:r>
                      <w:r>
                        <w:t>.</w:t>
                      </w:r>
                      <w:proofErr w:type="gramEnd"/>
                      <w:r>
                        <w:t xml:space="preserve"> Trend in formula use among children 0-5 months</w:t>
                      </w:r>
                      <w:bookmarkEnd w:id="38"/>
                    </w:p>
                  </w:txbxContent>
                </v:textbox>
                <w10:wrap type="square"/>
              </v:shape>
            </w:pict>
          </mc:Fallback>
        </mc:AlternateContent>
      </w:r>
      <w:r w:rsidR="003735BF">
        <w:t xml:space="preserve">For older children it is a different situation. After modest increases for urban and wealthy from 2000 to 2005, there was a sharp increase in formula use after 2005. For urban areas formula use among children 6-23 months nearly doubled from 2005 to 2010. For rural areas and the poorest wealth quintile there was no change over the last five years. These trends may be the result of increased promotion of “follow-on milk.” As the use of “follow-on milk” is associated with a higher risk for diabetes and other chronic disease later in life, these trends need to be addressed by the public health community.  </w:t>
      </w:r>
    </w:p>
    <w:p w:rsidR="00B50247" w:rsidRPr="00EC0C42" w:rsidRDefault="00EC0C42" w:rsidP="00D62AC0">
      <w:r>
        <w:t xml:space="preserve">There is a large amount of anecdotal evidence that </w:t>
      </w:r>
      <w:proofErr w:type="spellStart"/>
      <w:r>
        <w:t>breastmilk</w:t>
      </w:r>
      <w:proofErr w:type="spellEnd"/>
      <w:r>
        <w:t xml:space="preserve"> substitutes are promoted by doctors and nurses working in the private sector. Promotion of </w:t>
      </w:r>
      <w:proofErr w:type="spellStart"/>
      <w:r>
        <w:t>breastmilk</w:t>
      </w:r>
      <w:proofErr w:type="spellEnd"/>
      <w:r>
        <w:t xml:space="preserve"> substitutes by health professionals is illegal according to Cambodian law</w:t>
      </w:r>
      <w:r w:rsidRPr="008C6692">
        <w:t xml:space="preserve">. Table </w:t>
      </w:r>
      <w:r w:rsidR="008C6692" w:rsidRPr="008C6692">
        <w:t>8</w:t>
      </w:r>
      <w:r>
        <w:t xml:space="preserve"> shows that 1 of 4 women delivering in a private clinic use infant formula, which is </w:t>
      </w:r>
      <w:proofErr w:type="gramStart"/>
      <w:r>
        <w:t>3x</w:t>
      </w:r>
      <w:proofErr w:type="gramEnd"/>
      <w:r>
        <w:t xml:space="preserve"> more than women delivering in the public sector. This difference is likely attributable to both wealth, women delivering in a private facility are wealthier and more able to purchase infant formula, and illegal promotion by health workers.  </w:t>
      </w:r>
      <w:r w:rsidR="003735BF">
        <w:rPr>
          <w:noProof/>
        </w:rPr>
        <w:drawing>
          <wp:anchor distT="0" distB="0" distL="114300" distR="114300" simplePos="0" relativeHeight="251669504" behindDoc="0" locked="0" layoutInCell="1" allowOverlap="1" wp14:anchorId="3988BD48" wp14:editId="4DD24C8C">
            <wp:simplePos x="914400" y="2381250"/>
            <wp:positionH relativeFrom="margin">
              <wp:align>right</wp:align>
            </wp:positionH>
            <wp:positionV relativeFrom="margin">
              <wp:align>top</wp:align>
            </wp:positionV>
            <wp:extent cx="3733800" cy="2362200"/>
            <wp:effectExtent l="0" t="0" r="19050" b="1905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56D30" w:rsidRDefault="00E56D30" w:rsidP="00E56D30">
      <w:pPr>
        <w:pStyle w:val="Caption"/>
        <w:keepNext/>
      </w:pPr>
      <w:r>
        <w:t xml:space="preserve">Table </w:t>
      </w:r>
      <w:r>
        <w:fldChar w:fldCharType="begin"/>
      </w:r>
      <w:r>
        <w:instrText xml:space="preserve"> SEQ Table \* ARABIC </w:instrText>
      </w:r>
      <w:r>
        <w:fldChar w:fldCharType="separate"/>
      </w:r>
      <w:r>
        <w:rPr>
          <w:noProof/>
        </w:rPr>
        <w:t>8</w:t>
      </w:r>
      <w:r>
        <w:fldChar w:fldCharType="end"/>
      </w:r>
      <w:r>
        <w:t xml:space="preserve"> Formula use by place of delivery</w:t>
      </w:r>
      <w:r w:rsidR="00EC0C42">
        <w:t xml:space="preserve"> and age of child</w:t>
      </w:r>
      <w:r>
        <w:t>, CDHS 2010</w:t>
      </w:r>
    </w:p>
    <w:tbl>
      <w:tblPr>
        <w:tblW w:w="3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30"/>
        <w:gridCol w:w="1184"/>
        <w:gridCol w:w="666"/>
      </w:tblGrid>
      <w:tr w:rsidR="00E56D30" w:rsidRPr="00E56D30" w:rsidTr="00E56D30">
        <w:trPr>
          <w:trHeight w:val="255"/>
        </w:trPr>
        <w:tc>
          <w:tcPr>
            <w:tcW w:w="960" w:type="dxa"/>
            <w:shd w:val="clear" w:color="auto" w:fill="auto"/>
            <w:noWrap/>
            <w:vAlign w:val="bottom"/>
            <w:hideMark/>
          </w:tcPr>
          <w:p w:rsidR="00E56D30" w:rsidRPr="00E56D30" w:rsidRDefault="00E56D30" w:rsidP="00E56D30">
            <w:pPr>
              <w:spacing w:after="0" w:line="240" w:lineRule="auto"/>
              <w:rPr>
                <w:rFonts w:ascii="Calibri" w:eastAsia="Times New Roman" w:hAnsi="Calibri" w:cs="Times New Roman"/>
                <w:color w:val="000000"/>
                <w:sz w:val="20"/>
                <w:szCs w:val="20"/>
              </w:rPr>
            </w:pPr>
          </w:p>
        </w:tc>
        <w:tc>
          <w:tcPr>
            <w:tcW w:w="1030"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 xml:space="preserve">0-5 </w:t>
            </w:r>
            <w:proofErr w:type="spellStart"/>
            <w:r w:rsidRPr="00E56D30">
              <w:rPr>
                <w:rFonts w:ascii="Calibri" w:eastAsia="Times New Roman" w:hAnsi="Calibri" w:cs="Times New Roman"/>
                <w:color w:val="000000"/>
                <w:sz w:val="20"/>
                <w:szCs w:val="20"/>
              </w:rPr>
              <w:t>mos</w:t>
            </w:r>
            <w:proofErr w:type="spellEnd"/>
          </w:p>
        </w:tc>
        <w:tc>
          <w:tcPr>
            <w:tcW w:w="1184"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 xml:space="preserve">6-23 </w:t>
            </w:r>
            <w:proofErr w:type="spellStart"/>
            <w:r w:rsidRPr="00E56D30">
              <w:rPr>
                <w:rFonts w:ascii="Calibri" w:eastAsia="Times New Roman" w:hAnsi="Calibri" w:cs="Times New Roman"/>
                <w:color w:val="000000"/>
                <w:sz w:val="20"/>
                <w:szCs w:val="20"/>
              </w:rPr>
              <w:t>mos</w:t>
            </w:r>
            <w:proofErr w:type="spellEnd"/>
          </w:p>
        </w:tc>
        <w:tc>
          <w:tcPr>
            <w:tcW w:w="666"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Total</w:t>
            </w:r>
          </w:p>
        </w:tc>
      </w:tr>
      <w:tr w:rsidR="00E56D30" w:rsidRPr="00E56D30" w:rsidTr="00E56D30">
        <w:trPr>
          <w:trHeight w:val="255"/>
        </w:trPr>
        <w:tc>
          <w:tcPr>
            <w:tcW w:w="960" w:type="dxa"/>
            <w:shd w:val="clear" w:color="auto" w:fill="auto"/>
            <w:noWrap/>
            <w:vAlign w:val="bottom"/>
            <w:hideMark/>
          </w:tcPr>
          <w:p w:rsidR="00E56D30" w:rsidRPr="00E56D30" w:rsidRDefault="00E56D30" w:rsidP="00E56D30">
            <w:pPr>
              <w:spacing w:after="0" w:line="240" w:lineRule="auto"/>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public</w:t>
            </w:r>
          </w:p>
        </w:tc>
        <w:tc>
          <w:tcPr>
            <w:tcW w:w="1030"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5.1</w:t>
            </w:r>
          </w:p>
        </w:tc>
        <w:tc>
          <w:tcPr>
            <w:tcW w:w="1184"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10.1</w:t>
            </w:r>
          </w:p>
        </w:tc>
        <w:tc>
          <w:tcPr>
            <w:tcW w:w="666"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8.8</w:t>
            </w:r>
          </w:p>
        </w:tc>
      </w:tr>
      <w:tr w:rsidR="00E56D30" w:rsidRPr="00E56D30" w:rsidTr="00E56D30">
        <w:trPr>
          <w:trHeight w:val="255"/>
        </w:trPr>
        <w:tc>
          <w:tcPr>
            <w:tcW w:w="960" w:type="dxa"/>
            <w:shd w:val="clear" w:color="auto" w:fill="auto"/>
            <w:noWrap/>
            <w:vAlign w:val="bottom"/>
            <w:hideMark/>
          </w:tcPr>
          <w:p w:rsidR="00E56D30" w:rsidRPr="00E56D30" w:rsidRDefault="00E56D30" w:rsidP="00E56D30">
            <w:pPr>
              <w:spacing w:after="0" w:line="240" w:lineRule="auto"/>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private</w:t>
            </w:r>
          </w:p>
        </w:tc>
        <w:tc>
          <w:tcPr>
            <w:tcW w:w="1030"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26.1</w:t>
            </w:r>
          </w:p>
        </w:tc>
        <w:tc>
          <w:tcPr>
            <w:tcW w:w="1184"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26.9</w:t>
            </w:r>
          </w:p>
        </w:tc>
        <w:tc>
          <w:tcPr>
            <w:tcW w:w="666"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26.7</w:t>
            </w:r>
          </w:p>
        </w:tc>
      </w:tr>
      <w:tr w:rsidR="00E56D30" w:rsidRPr="00E56D30" w:rsidTr="00E56D30">
        <w:trPr>
          <w:trHeight w:val="255"/>
        </w:trPr>
        <w:tc>
          <w:tcPr>
            <w:tcW w:w="960" w:type="dxa"/>
            <w:shd w:val="clear" w:color="auto" w:fill="auto"/>
            <w:noWrap/>
            <w:vAlign w:val="bottom"/>
            <w:hideMark/>
          </w:tcPr>
          <w:p w:rsidR="00E56D30" w:rsidRPr="00E56D30" w:rsidRDefault="00E56D30" w:rsidP="00E56D30">
            <w:pPr>
              <w:spacing w:after="0" w:line="240" w:lineRule="auto"/>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home</w:t>
            </w:r>
          </w:p>
        </w:tc>
        <w:tc>
          <w:tcPr>
            <w:tcW w:w="1030"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3.8</w:t>
            </w:r>
          </w:p>
        </w:tc>
        <w:tc>
          <w:tcPr>
            <w:tcW w:w="1184"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2.4</w:t>
            </w:r>
          </w:p>
        </w:tc>
        <w:tc>
          <w:tcPr>
            <w:tcW w:w="666" w:type="dxa"/>
            <w:shd w:val="clear" w:color="auto" w:fill="auto"/>
            <w:noWrap/>
            <w:vAlign w:val="bottom"/>
            <w:hideMark/>
          </w:tcPr>
          <w:p w:rsidR="00E56D30" w:rsidRPr="00E56D30" w:rsidRDefault="00E56D30" w:rsidP="00E56D30">
            <w:pPr>
              <w:spacing w:after="0" w:line="240" w:lineRule="auto"/>
              <w:jc w:val="center"/>
              <w:rPr>
                <w:rFonts w:ascii="Calibri" w:eastAsia="Times New Roman" w:hAnsi="Calibri" w:cs="Times New Roman"/>
                <w:color w:val="000000"/>
                <w:sz w:val="20"/>
                <w:szCs w:val="20"/>
              </w:rPr>
            </w:pPr>
            <w:r w:rsidRPr="00E56D30">
              <w:rPr>
                <w:rFonts w:ascii="Calibri" w:eastAsia="Times New Roman" w:hAnsi="Calibri" w:cs="Times New Roman"/>
                <w:color w:val="000000"/>
                <w:sz w:val="20"/>
                <w:szCs w:val="20"/>
              </w:rPr>
              <w:t>2.7</w:t>
            </w:r>
          </w:p>
        </w:tc>
      </w:tr>
    </w:tbl>
    <w:p w:rsidR="00B50247" w:rsidRDefault="00B50247" w:rsidP="00D62AC0">
      <w:pPr>
        <w:rPr>
          <w:rFonts w:ascii="Times New Roman" w:hAnsi="Times New Roman" w:cs="Times New Roman"/>
          <w:sz w:val="24"/>
          <w:szCs w:val="24"/>
        </w:rPr>
      </w:pPr>
    </w:p>
    <w:p w:rsidR="00D62AC0" w:rsidRPr="00707930" w:rsidRDefault="00D62AC0" w:rsidP="00D62AC0">
      <w:pPr>
        <w:rPr>
          <w:rFonts w:ascii="Times New Roman" w:hAnsi="Times New Roman" w:cs="Times New Roman"/>
          <w:sz w:val="24"/>
          <w:szCs w:val="24"/>
        </w:rPr>
      </w:pPr>
    </w:p>
    <w:p w:rsidR="002809D8" w:rsidRPr="000251FC" w:rsidRDefault="002809D8">
      <w:pPr>
        <w:rPr>
          <w:rFonts w:ascii="Arial" w:eastAsia="Times New Roman" w:hAnsi="Arial" w:cs="Arial"/>
          <w:color w:val="222222"/>
          <w:sz w:val="20"/>
          <w:szCs w:val="20"/>
        </w:rPr>
      </w:pPr>
    </w:p>
    <w:p w:rsidR="002809D8" w:rsidRDefault="00B23ACD" w:rsidP="002809D8">
      <w:pPr>
        <w:pStyle w:val="Heading2"/>
      </w:pPr>
      <w:bookmarkStart w:id="39" w:name="_Toc346097188"/>
      <w:r>
        <w:rPr>
          <w:noProof/>
        </w:rPr>
        <w:lastRenderedPageBreak/>
        <mc:AlternateContent>
          <mc:Choice Requires="wps">
            <w:drawing>
              <wp:anchor distT="0" distB="0" distL="114300" distR="114300" simplePos="0" relativeHeight="251689984" behindDoc="0" locked="0" layoutInCell="1" allowOverlap="1" wp14:anchorId="7611417A" wp14:editId="0F09E407">
                <wp:simplePos x="0" y="0"/>
                <wp:positionH relativeFrom="column">
                  <wp:posOffset>2171700</wp:posOffset>
                </wp:positionH>
                <wp:positionV relativeFrom="paragraph">
                  <wp:posOffset>-209550</wp:posOffset>
                </wp:positionV>
                <wp:extent cx="3905250" cy="228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905250" cy="228600"/>
                        </a:xfrm>
                        <a:prstGeom prst="rect">
                          <a:avLst/>
                        </a:prstGeom>
                        <a:solidFill>
                          <a:prstClr val="white"/>
                        </a:solidFill>
                        <a:ln>
                          <a:noFill/>
                        </a:ln>
                        <a:effectLst/>
                      </wps:spPr>
                      <wps:txbx>
                        <w:txbxContent>
                          <w:p w:rsidR="00E56D30" w:rsidRPr="00AD07C1" w:rsidRDefault="00E56D30" w:rsidP="00B23ACD">
                            <w:pPr>
                              <w:pStyle w:val="Caption"/>
                              <w:rPr>
                                <w:rFonts w:ascii="Times New Roman" w:hAnsi="Times New Roman" w:cs="Times New Roman"/>
                                <w:sz w:val="24"/>
                                <w:szCs w:val="24"/>
                              </w:rPr>
                            </w:pPr>
                            <w:bookmarkStart w:id="40" w:name="_Toc346097115"/>
                            <w:proofErr w:type="gramStart"/>
                            <w:r>
                              <w:t xml:space="preserve">Figure </w:t>
                            </w:r>
                            <w:r>
                              <w:fldChar w:fldCharType="begin"/>
                            </w:r>
                            <w:r>
                              <w:instrText xml:space="preserve"> SEQ Figure \* ARABIC </w:instrText>
                            </w:r>
                            <w:r>
                              <w:fldChar w:fldCharType="separate"/>
                            </w:r>
                            <w:r>
                              <w:rPr>
                                <w:noProof/>
                              </w:rPr>
                              <w:t>13</w:t>
                            </w:r>
                            <w:r>
                              <w:rPr>
                                <w:noProof/>
                              </w:rPr>
                              <w:fldChar w:fldCharType="end"/>
                            </w:r>
                            <w:r>
                              <w:t>.</w:t>
                            </w:r>
                            <w:proofErr w:type="gramEnd"/>
                            <w:r>
                              <w:t xml:space="preserve"> Trend in bottle use by age, CDHS 2005-2010</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5" type="#_x0000_t202" style="position:absolute;margin-left:171pt;margin-top:-16.5pt;width:307.5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" stroked="f">
                <v:textbox inset="0,0,0,0">
                  <w:txbxContent>
                    <w:p w:rsidR="00E56D30" w:rsidRPr="00AD07C1" w:rsidRDefault="00E56D30" w:rsidP="00B23ACD">
                      <w:pPr>
                        <w:pStyle w:val="Caption"/>
                        <w:rPr>
                          <w:rFonts w:ascii="Times New Roman" w:hAnsi="Times New Roman" w:cs="Times New Roman"/>
                          <w:sz w:val="24"/>
                          <w:szCs w:val="24"/>
                        </w:rPr>
                      </w:pPr>
                      <w:bookmarkStart w:id="41" w:name="_Toc346097115"/>
                      <w:proofErr w:type="gramStart"/>
                      <w:r>
                        <w:t xml:space="preserve">Figure </w:t>
                      </w:r>
                      <w:r>
                        <w:fldChar w:fldCharType="begin"/>
                      </w:r>
                      <w:r>
                        <w:instrText xml:space="preserve"> SEQ Figure \* ARABIC </w:instrText>
                      </w:r>
                      <w:r>
                        <w:fldChar w:fldCharType="separate"/>
                      </w:r>
                      <w:r>
                        <w:rPr>
                          <w:noProof/>
                        </w:rPr>
                        <w:t>13</w:t>
                      </w:r>
                      <w:r>
                        <w:rPr>
                          <w:noProof/>
                        </w:rPr>
                        <w:fldChar w:fldCharType="end"/>
                      </w:r>
                      <w:r>
                        <w:t>.</w:t>
                      </w:r>
                      <w:proofErr w:type="gramEnd"/>
                      <w:r>
                        <w:t xml:space="preserve"> Trend in bottle use by age, CDHS 2005-2010</w:t>
                      </w:r>
                      <w:bookmarkEnd w:id="41"/>
                    </w:p>
                  </w:txbxContent>
                </v:textbox>
                <w10:wrap type="square"/>
              </v:shape>
            </w:pict>
          </mc:Fallback>
        </mc:AlternateContent>
      </w:r>
      <w:r w:rsidR="009F1C70" w:rsidRPr="002F02D5">
        <w:rPr>
          <w:rFonts w:ascii="Times New Roman" w:hAnsi="Times New Roman" w:cs="Times New Roman"/>
          <w:noProof/>
          <w:sz w:val="24"/>
          <w:szCs w:val="24"/>
        </w:rPr>
        <w:drawing>
          <wp:anchor distT="0" distB="0" distL="114300" distR="114300" simplePos="0" relativeHeight="251672576" behindDoc="0" locked="0" layoutInCell="1" allowOverlap="1" wp14:anchorId="097D9A04" wp14:editId="328A4B25">
            <wp:simplePos x="0" y="0"/>
            <wp:positionH relativeFrom="margin">
              <wp:posOffset>2171700</wp:posOffset>
            </wp:positionH>
            <wp:positionV relativeFrom="margin">
              <wp:posOffset>19050</wp:posOffset>
            </wp:positionV>
            <wp:extent cx="3905250" cy="2362200"/>
            <wp:effectExtent l="0" t="0" r="19050" b="1905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2809D8">
        <w:t>Bottle Use</w:t>
      </w:r>
      <w:bookmarkEnd w:id="39"/>
    </w:p>
    <w:p w:rsidR="00092D6F" w:rsidRDefault="00092D6F" w:rsidP="00092D6F"/>
    <w:p w:rsidR="00092D6F" w:rsidRPr="003834D8" w:rsidRDefault="00B23ACD" w:rsidP="003834D8">
      <w:pPr>
        <w:rPr>
          <w:szCs w:val="22"/>
        </w:rPr>
      </w:pPr>
      <w:r w:rsidRPr="003834D8">
        <w:rPr>
          <w:noProof/>
          <w:szCs w:val="22"/>
        </w:rPr>
        <mc:AlternateContent>
          <mc:Choice Requires="wps">
            <w:drawing>
              <wp:anchor distT="0" distB="0" distL="114300" distR="114300" simplePos="0" relativeHeight="251692032" behindDoc="0" locked="0" layoutInCell="1" allowOverlap="1" wp14:anchorId="3281E596" wp14:editId="3C518867">
                <wp:simplePos x="0" y="0"/>
                <wp:positionH relativeFrom="column">
                  <wp:posOffset>2171700</wp:posOffset>
                </wp:positionH>
                <wp:positionV relativeFrom="paragraph">
                  <wp:posOffset>2045335</wp:posOffset>
                </wp:positionV>
                <wp:extent cx="3905250" cy="1524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3905250" cy="152400"/>
                        </a:xfrm>
                        <a:prstGeom prst="rect">
                          <a:avLst/>
                        </a:prstGeom>
                        <a:solidFill>
                          <a:prstClr val="white"/>
                        </a:solidFill>
                        <a:ln>
                          <a:noFill/>
                        </a:ln>
                        <a:effectLst/>
                      </wps:spPr>
                      <wps:txbx>
                        <w:txbxContent>
                          <w:p w:rsidR="00E56D30" w:rsidRDefault="00E56D30" w:rsidP="00B23ACD">
                            <w:pPr>
                              <w:pStyle w:val="Caption"/>
                              <w:rPr>
                                <w:noProof/>
                              </w:rPr>
                            </w:pPr>
                            <w:bookmarkStart w:id="42" w:name="_Toc346097116"/>
                            <w:proofErr w:type="gramStart"/>
                            <w:r>
                              <w:t xml:space="preserve">Figure </w:t>
                            </w:r>
                            <w:r>
                              <w:fldChar w:fldCharType="begin"/>
                            </w:r>
                            <w:r>
                              <w:instrText xml:space="preserve"> SEQ Figure \* ARABIC </w:instrText>
                            </w:r>
                            <w:r>
                              <w:fldChar w:fldCharType="separate"/>
                            </w:r>
                            <w:r>
                              <w:rPr>
                                <w:noProof/>
                              </w:rPr>
                              <w:t>14</w:t>
                            </w:r>
                            <w:r>
                              <w:rPr>
                                <w:noProof/>
                              </w:rPr>
                              <w:fldChar w:fldCharType="end"/>
                            </w:r>
                            <w:r>
                              <w:t>.</w:t>
                            </w:r>
                            <w:proofErr w:type="gramEnd"/>
                            <w:r>
                              <w:t xml:space="preserve"> Trend in bottle use by residence and wealth, CDHS 2000-2010</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6" type="#_x0000_t202" style="position:absolute;margin-left:171pt;margin-top:161.05pt;width:307.5pt;height: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" stroked="f">
                <v:textbox inset="0,0,0,0">
                  <w:txbxContent>
                    <w:p w:rsidR="00E56D30" w:rsidRDefault="00E56D30" w:rsidP="00B23ACD">
                      <w:pPr>
                        <w:pStyle w:val="Caption"/>
                        <w:rPr>
                          <w:noProof/>
                        </w:rPr>
                      </w:pPr>
                      <w:bookmarkStart w:id="43" w:name="_Toc346097116"/>
                      <w:proofErr w:type="gramStart"/>
                      <w:r>
                        <w:t xml:space="preserve">Figure </w:t>
                      </w:r>
                      <w:r>
                        <w:fldChar w:fldCharType="begin"/>
                      </w:r>
                      <w:r>
                        <w:instrText xml:space="preserve"> SEQ Figure \* ARABIC </w:instrText>
                      </w:r>
                      <w:r>
                        <w:fldChar w:fldCharType="separate"/>
                      </w:r>
                      <w:r>
                        <w:rPr>
                          <w:noProof/>
                        </w:rPr>
                        <w:t>14</w:t>
                      </w:r>
                      <w:r>
                        <w:rPr>
                          <w:noProof/>
                        </w:rPr>
                        <w:fldChar w:fldCharType="end"/>
                      </w:r>
                      <w:r>
                        <w:t>.</w:t>
                      </w:r>
                      <w:proofErr w:type="gramEnd"/>
                      <w:r>
                        <w:t xml:space="preserve"> Trend in bottle use by residence and wealth, CDHS 2000-2010</w:t>
                      </w:r>
                      <w:bookmarkEnd w:id="43"/>
                    </w:p>
                  </w:txbxContent>
                </v:textbox>
                <w10:wrap type="square"/>
              </v:shape>
            </w:pict>
          </mc:Fallback>
        </mc:AlternateContent>
      </w:r>
      <w:r w:rsidR="009F1C70" w:rsidRPr="003834D8">
        <w:rPr>
          <w:noProof/>
          <w:szCs w:val="22"/>
        </w:rPr>
        <w:drawing>
          <wp:anchor distT="0" distB="0" distL="114300" distR="114300" simplePos="0" relativeHeight="251671552" behindDoc="0" locked="0" layoutInCell="1" allowOverlap="1" wp14:anchorId="1EEABA40" wp14:editId="2DF7F321">
            <wp:simplePos x="0" y="0"/>
            <wp:positionH relativeFrom="margin">
              <wp:posOffset>2171700</wp:posOffset>
            </wp:positionH>
            <wp:positionV relativeFrom="margin">
              <wp:posOffset>2743200</wp:posOffset>
            </wp:positionV>
            <wp:extent cx="3905250" cy="2314575"/>
            <wp:effectExtent l="0" t="0" r="19050" b="952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092D6F" w:rsidRPr="003834D8">
        <w:rPr>
          <w:szCs w:val="22"/>
        </w:rPr>
        <w:t>From the DHS reports it is evident that after a slight decrease in bottle use from 2000 to 2005, there has been a large increase after 2005.</w:t>
      </w:r>
      <w:r w:rsidR="00DC09C4" w:rsidRPr="003834D8">
        <w:rPr>
          <w:szCs w:val="22"/>
        </w:rPr>
        <w:t xml:space="preserve"> </w:t>
      </w:r>
      <w:r w:rsidR="00092D6F" w:rsidRPr="003834D8">
        <w:rPr>
          <w:szCs w:val="22"/>
        </w:rPr>
        <w:t>Most of the increase</w:t>
      </w:r>
      <w:r w:rsidR="00DC09C4" w:rsidRPr="003834D8">
        <w:rPr>
          <w:szCs w:val="22"/>
        </w:rPr>
        <w:t xml:space="preserve"> from 2005 to 2010</w:t>
      </w:r>
      <w:r w:rsidR="00092D6F" w:rsidRPr="003834D8">
        <w:rPr>
          <w:szCs w:val="22"/>
        </w:rPr>
        <w:t xml:space="preserve">, as shown in Figure </w:t>
      </w:r>
      <w:r w:rsidR="008C6692">
        <w:rPr>
          <w:szCs w:val="22"/>
        </w:rPr>
        <w:t>13</w:t>
      </w:r>
      <w:r w:rsidR="00092D6F" w:rsidRPr="003834D8">
        <w:rPr>
          <w:szCs w:val="22"/>
        </w:rPr>
        <w:t>, has occurred among children older than six months.</w:t>
      </w:r>
      <w:r w:rsidR="00DC09C4" w:rsidRPr="003834D8">
        <w:rPr>
          <w:szCs w:val="22"/>
        </w:rPr>
        <w:t xml:space="preserve"> The DHS </w:t>
      </w:r>
      <w:r w:rsidR="009F1C70" w:rsidRPr="003834D8">
        <w:rPr>
          <w:szCs w:val="22"/>
        </w:rPr>
        <w:t xml:space="preserve">report </w:t>
      </w:r>
      <w:r w:rsidR="00DC09C4" w:rsidRPr="003834D8">
        <w:rPr>
          <w:szCs w:val="22"/>
        </w:rPr>
        <w:t>does not provide estimates disaggregated by socio-economic characteristics.</w:t>
      </w:r>
    </w:p>
    <w:p w:rsidR="00DC09C4" w:rsidRPr="003834D8" w:rsidRDefault="00B23ACD" w:rsidP="003834D8">
      <w:pPr>
        <w:rPr>
          <w:szCs w:val="22"/>
        </w:rPr>
      </w:pPr>
      <w:r w:rsidRPr="003834D8">
        <w:rPr>
          <w:noProof/>
          <w:szCs w:val="22"/>
        </w:rPr>
        <w:drawing>
          <wp:anchor distT="0" distB="0" distL="114300" distR="114300" simplePos="0" relativeHeight="251673600" behindDoc="0" locked="0" layoutInCell="1" allowOverlap="1" wp14:anchorId="1C371694" wp14:editId="0869DA3A">
            <wp:simplePos x="0" y="0"/>
            <wp:positionH relativeFrom="margin">
              <wp:posOffset>2133600</wp:posOffset>
            </wp:positionH>
            <wp:positionV relativeFrom="margin">
              <wp:posOffset>5867400</wp:posOffset>
            </wp:positionV>
            <wp:extent cx="3933825" cy="2247900"/>
            <wp:effectExtent l="0" t="0" r="9525" b="1905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3834D8">
        <w:rPr>
          <w:noProof/>
          <w:szCs w:val="22"/>
        </w:rPr>
        <mc:AlternateContent>
          <mc:Choice Requires="wps">
            <w:drawing>
              <wp:anchor distT="0" distB="0" distL="114300" distR="114300" simplePos="0" relativeHeight="251694080" behindDoc="0" locked="0" layoutInCell="1" allowOverlap="1" wp14:anchorId="5FE587DC" wp14:editId="0399E3E2">
                <wp:simplePos x="0" y="0"/>
                <wp:positionH relativeFrom="column">
                  <wp:posOffset>1981200</wp:posOffset>
                </wp:positionH>
                <wp:positionV relativeFrom="paragraph">
                  <wp:posOffset>2541905</wp:posOffset>
                </wp:positionV>
                <wp:extent cx="3933825" cy="2286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3933825" cy="228600"/>
                        </a:xfrm>
                        <a:prstGeom prst="rect">
                          <a:avLst/>
                        </a:prstGeom>
                        <a:solidFill>
                          <a:prstClr val="white"/>
                        </a:solidFill>
                        <a:ln>
                          <a:noFill/>
                        </a:ln>
                        <a:effectLst/>
                      </wps:spPr>
                      <wps:txbx>
                        <w:txbxContent>
                          <w:p w:rsidR="00E56D30" w:rsidRDefault="00E56D30" w:rsidP="00B23ACD">
                            <w:pPr>
                              <w:pStyle w:val="Caption"/>
                              <w:rPr>
                                <w:noProof/>
                              </w:rPr>
                            </w:pPr>
                            <w:bookmarkStart w:id="44" w:name="_Toc346097117"/>
                            <w:proofErr w:type="gramStart"/>
                            <w:r>
                              <w:t xml:space="preserve">Figure </w:t>
                            </w:r>
                            <w:r>
                              <w:fldChar w:fldCharType="begin"/>
                            </w:r>
                            <w:r>
                              <w:instrText xml:space="preserve"> SEQ Figure \* ARABIC </w:instrText>
                            </w:r>
                            <w:r>
                              <w:fldChar w:fldCharType="separate"/>
                            </w:r>
                            <w:r>
                              <w:rPr>
                                <w:noProof/>
                              </w:rPr>
                              <w:t>15</w:t>
                            </w:r>
                            <w:r>
                              <w:rPr>
                                <w:noProof/>
                              </w:rPr>
                              <w:fldChar w:fldCharType="end"/>
                            </w:r>
                            <w:r>
                              <w:t>.</w:t>
                            </w:r>
                            <w:proofErr w:type="gramEnd"/>
                            <w:r>
                              <w:t xml:space="preserve"> Trend in bottle use: Urban and rural by wealth, CDHS 2000-2010</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7" type="#_x0000_t202" style="position:absolute;margin-left:156pt;margin-top:200.15pt;width:309.75pt;height: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" stroked="f">
                <v:textbox inset="0,0,0,0">
                  <w:txbxContent>
                    <w:p w:rsidR="00E56D30" w:rsidRDefault="00E56D30" w:rsidP="00B23ACD">
                      <w:pPr>
                        <w:pStyle w:val="Caption"/>
                        <w:rPr>
                          <w:noProof/>
                        </w:rPr>
                      </w:pPr>
                      <w:bookmarkStart w:id="45" w:name="_Toc346097117"/>
                      <w:proofErr w:type="gramStart"/>
                      <w:r>
                        <w:t xml:space="preserve">Figure </w:t>
                      </w:r>
                      <w:r>
                        <w:fldChar w:fldCharType="begin"/>
                      </w:r>
                      <w:r>
                        <w:instrText xml:space="preserve"> SEQ Figure \* ARABIC </w:instrText>
                      </w:r>
                      <w:r>
                        <w:fldChar w:fldCharType="separate"/>
                      </w:r>
                      <w:r>
                        <w:rPr>
                          <w:noProof/>
                        </w:rPr>
                        <w:t>15</w:t>
                      </w:r>
                      <w:r>
                        <w:rPr>
                          <w:noProof/>
                        </w:rPr>
                        <w:fldChar w:fldCharType="end"/>
                      </w:r>
                      <w:r>
                        <w:t>.</w:t>
                      </w:r>
                      <w:proofErr w:type="gramEnd"/>
                      <w:r>
                        <w:t xml:space="preserve"> Trend in bottle use: Urban and rural by wealth, CDHS 2000-2010</w:t>
                      </w:r>
                      <w:bookmarkEnd w:id="45"/>
                    </w:p>
                  </w:txbxContent>
                </v:textbox>
                <w10:wrap type="square"/>
              </v:shape>
            </w:pict>
          </mc:Fallback>
        </mc:AlternateContent>
      </w:r>
      <w:r w:rsidR="00DC09C4" w:rsidRPr="003834D8">
        <w:rPr>
          <w:szCs w:val="22"/>
        </w:rPr>
        <w:t xml:space="preserve">Looking at bottle use by residence and wealth (Figure </w:t>
      </w:r>
      <w:r w:rsidR="008C6692">
        <w:rPr>
          <w:szCs w:val="22"/>
        </w:rPr>
        <w:t>14</w:t>
      </w:r>
      <w:r w:rsidR="00DC09C4" w:rsidRPr="003834D8">
        <w:rPr>
          <w:szCs w:val="22"/>
        </w:rPr>
        <w:t>)</w:t>
      </w:r>
      <w:r w:rsidR="009F1C70" w:rsidRPr="003834D8">
        <w:rPr>
          <w:szCs w:val="22"/>
        </w:rPr>
        <w:t xml:space="preserve"> shows a higher percentage of bottle use among urban and wealthy. Figure </w:t>
      </w:r>
      <w:r w:rsidR="008C6692">
        <w:rPr>
          <w:szCs w:val="22"/>
        </w:rPr>
        <w:t>14</w:t>
      </w:r>
      <w:r w:rsidR="009F1C70" w:rsidRPr="003834D8">
        <w:rPr>
          <w:szCs w:val="22"/>
        </w:rPr>
        <w:t xml:space="preserve"> also shows that the increase from 2005 to 2010 has occurred in both urban and rural areas and among both the wealthiest and poorest wealth quintiles. As formula use has not increased among all groups, the increase in bottle use is not only related to formula use. Anecdotally, there is evidence that many caretakers use a bottle to feed their child sugar water or tea. </w:t>
      </w:r>
    </w:p>
    <w:p w:rsidR="002809D8" w:rsidRPr="003834D8" w:rsidRDefault="009F1C70" w:rsidP="003834D8">
      <w:pPr>
        <w:rPr>
          <w:rFonts w:cs="Times New Roman"/>
          <w:szCs w:val="22"/>
        </w:rPr>
      </w:pPr>
      <w:r w:rsidRPr="003834D8">
        <w:rPr>
          <w:rFonts w:cs="Times New Roman"/>
          <w:szCs w:val="22"/>
        </w:rPr>
        <w:t xml:space="preserve">Further disaggregation, looking at wealth within urban and rural areas, shows that the sharpest increase in </w:t>
      </w:r>
      <w:r w:rsidR="00172A15">
        <w:rPr>
          <w:rFonts w:cs="Times New Roman"/>
          <w:szCs w:val="22"/>
        </w:rPr>
        <w:t>bottle</w:t>
      </w:r>
      <w:r w:rsidRPr="003834D8">
        <w:rPr>
          <w:rFonts w:cs="Times New Roman"/>
          <w:szCs w:val="22"/>
        </w:rPr>
        <w:t xml:space="preserve"> use has happened among urban poor. </w:t>
      </w:r>
      <w:proofErr w:type="gramStart"/>
      <w:r w:rsidRPr="003834D8">
        <w:rPr>
          <w:rFonts w:cs="Times New Roman"/>
          <w:szCs w:val="22"/>
        </w:rPr>
        <w:t>Increased bottle use in rural areas and among urban poor are of particular concern because of poor sanitation in these areas.</w:t>
      </w:r>
      <w:proofErr w:type="gramEnd"/>
      <w:r w:rsidRPr="003834D8">
        <w:rPr>
          <w:rFonts w:cs="Times New Roman"/>
          <w:szCs w:val="22"/>
        </w:rPr>
        <w:t xml:space="preserve"> </w:t>
      </w:r>
    </w:p>
    <w:p w:rsidR="00A116A1" w:rsidRDefault="00A116A1"/>
    <w:bookmarkStart w:id="46" w:name="_Toc346097189" w:displacedByCustomXml="next"/>
    <w:sdt>
      <w:sdtPr>
        <w:id w:val="-1935361098"/>
        <w:docPartObj>
          <w:docPartGallery w:val="Bibliographies"/>
          <w:docPartUnique/>
        </w:docPartObj>
      </w:sdtPr>
      <w:sdtEndPr>
        <w:rPr>
          <w:rFonts w:asciiTheme="minorHAnsi" w:eastAsiaTheme="minorEastAsia" w:hAnsiTheme="minorHAnsi" w:cstheme="minorBidi"/>
          <w:b w:val="0"/>
          <w:bCs w:val="0"/>
          <w:color w:val="auto"/>
          <w:sz w:val="22"/>
          <w:szCs w:val="36"/>
        </w:rPr>
      </w:sdtEndPr>
      <w:sdtContent>
        <w:p w:rsidR="006328F0" w:rsidRDefault="006328F0">
          <w:pPr>
            <w:pStyle w:val="Heading1"/>
          </w:pPr>
          <w:r>
            <w:t>Bibliography</w:t>
          </w:r>
        </w:p>
        <w:sdt>
          <w:sdtPr>
            <w:id w:val="111145805"/>
            <w:bibliography/>
          </w:sdtPr>
          <w:sdtContent>
            <w:p w:rsidR="008C6692" w:rsidRDefault="006328F0" w:rsidP="008C6692">
              <w:pPr>
                <w:pStyle w:val="Bibliography"/>
                <w:ind w:left="720" w:hanging="720"/>
                <w:rPr>
                  <w:noProof/>
                </w:rPr>
              </w:pPr>
              <w:r>
                <w:fldChar w:fldCharType="begin"/>
              </w:r>
              <w:r>
                <w:instrText xml:space="preserve"> BIBLIOGRAPHY </w:instrText>
              </w:r>
              <w:r>
                <w:fldChar w:fldCharType="separate"/>
              </w:r>
              <w:r w:rsidR="008C6692">
                <w:rPr>
                  <w:noProof/>
                </w:rPr>
                <w:t>Conkle, J., Moore, D. "Caretaker Perceptions of Multiple Micronutrient Powder In-Home Fortification." Phnom Penh: UNICEF, 2012.</w:t>
              </w:r>
            </w:p>
            <w:p w:rsidR="008C6692" w:rsidRDefault="008C6692" w:rsidP="008C6692">
              <w:pPr>
                <w:pStyle w:val="Bibliography"/>
                <w:ind w:left="720" w:hanging="720"/>
                <w:rPr>
                  <w:noProof/>
                </w:rPr>
              </w:pPr>
              <w:r>
                <w:rPr>
                  <w:noProof/>
                </w:rPr>
                <w:t>Mishra, U. "Worrying Nutrition Results from CDHS 2010 In The Context of High Food Prices." Phnom Penh: UNICEF, 2012.</w:t>
              </w:r>
            </w:p>
            <w:p w:rsidR="008C6692" w:rsidRDefault="008C6692" w:rsidP="008C6692">
              <w:pPr>
                <w:pStyle w:val="Bibliography"/>
                <w:ind w:left="720" w:hanging="720"/>
                <w:rPr>
                  <w:noProof/>
                </w:rPr>
              </w:pPr>
              <w:r>
                <w:rPr>
                  <w:noProof/>
                </w:rPr>
                <w:t xml:space="preserve">National Institute of Statistics, Ministry of Planning. </w:t>
              </w:r>
              <w:r>
                <w:rPr>
                  <w:i/>
                  <w:iCs/>
                  <w:noProof/>
                </w:rPr>
                <w:t>Cambodia Demographic and Health Survey</w:t>
              </w:r>
              <w:r>
                <w:rPr>
                  <w:noProof/>
                </w:rPr>
                <w:t>. Phnom Penh: Measure DHS, 2010.</w:t>
              </w:r>
            </w:p>
            <w:p w:rsidR="008C6692" w:rsidRDefault="008C6692" w:rsidP="008C6692">
              <w:pPr>
                <w:pStyle w:val="Bibliography"/>
                <w:ind w:left="720" w:hanging="720"/>
                <w:rPr>
                  <w:noProof/>
                </w:rPr>
              </w:pPr>
              <w:r>
                <w:rPr>
                  <w:noProof/>
                </w:rPr>
                <w:t>National Nutrition Programme, National Maternal and Child Health Centre. "National Policy and Guidelines for Micronutrient Supplementation to Prevent and Control Deficiencies in Cambodia." Phnom Penh: Ministry of Health, 2011.</w:t>
              </w:r>
            </w:p>
            <w:p w:rsidR="008C6692" w:rsidRDefault="008C6692" w:rsidP="008C6692">
              <w:pPr>
                <w:pStyle w:val="Bibliography"/>
                <w:ind w:left="720" w:hanging="720"/>
                <w:rPr>
                  <w:noProof/>
                </w:rPr>
              </w:pPr>
              <w:r>
                <w:rPr>
                  <w:noProof/>
                </w:rPr>
                <w:t>Pena Rosas JP, Viteri FE. "Effects and Safety of Preventive Oral Iron or Iron+Folic Acid Supplmentation for Women During Pregnancy (Review)." 2009.</w:t>
              </w:r>
            </w:p>
            <w:p w:rsidR="008C6692" w:rsidRDefault="008C6692" w:rsidP="008C6692">
              <w:pPr>
                <w:pStyle w:val="Bibliography"/>
                <w:ind w:left="720" w:hanging="720"/>
                <w:rPr>
                  <w:noProof/>
                </w:rPr>
              </w:pPr>
              <w:r>
                <w:rPr>
                  <w:noProof/>
                </w:rPr>
                <w:t>Stoltzfus, R., Dreyfuss, M. "Guidelines for the Use of Iron Supplements to Prevent and Treat Iron Deficiency Anemia." International Nutritional Anemia Consultative Group, 2005.</w:t>
              </w:r>
            </w:p>
            <w:p w:rsidR="008C6692" w:rsidRDefault="008C6692" w:rsidP="008C6692">
              <w:pPr>
                <w:pStyle w:val="Bibliography"/>
                <w:ind w:left="720" w:hanging="720"/>
                <w:rPr>
                  <w:noProof/>
                </w:rPr>
              </w:pPr>
              <w:r>
                <w:rPr>
                  <w:noProof/>
                </w:rPr>
                <w:t>Wise, A., Conkle, J. "Cambodia Equity Analysis." Phnom Penh: UNICEF, 2012.</w:t>
              </w:r>
            </w:p>
            <w:p w:rsidR="006328F0" w:rsidRDefault="006328F0" w:rsidP="008C6692">
              <w:r>
                <w:rPr>
                  <w:b/>
                  <w:bCs/>
                  <w:noProof/>
                </w:rPr>
                <w:fldChar w:fldCharType="end"/>
              </w:r>
            </w:p>
          </w:sdtContent>
        </w:sdt>
      </w:sdtContent>
    </w:sdt>
    <w:p w:rsidR="006328F0" w:rsidRDefault="006328F0"/>
    <w:p w:rsidR="006328F0" w:rsidRDefault="006328F0">
      <w:pPr>
        <w:rPr>
          <w:rFonts w:asciiTheme="majorHAnsi" w:eastAsiaTheme="majorEastAsia" w:hAnsiTheme="majorHAnsi" w:cstheme="majorBidi"/>
          <w:b/>
          <w:bCs/>
          <w:color w:val="365F91" w:themeColor="accent1" w:themeShade="BF"/>
          <w:sz w:val="28"/>
          <w:szCs w:val="45"/>
        </w:rPr>
      </w:pPr>
      <w:r>
        <w:br w:type="page"/>
      </w:r>
    </w:p>
    <w:p w:rsidR="00BB15F8" w:rsidRDefault="00A116A1" w:rsidP="00BB15F8">
      <w:pPr>
        <w:pStyle w:val="Heading1"/>
      </w:pPr>
      <w:r>
        <w:lastRenderedPageBreak/>
        <w:t>Annex I. Additional Figures and Tables</w:t>
      </w:r>
      <w:bookmarkEnd w:id="46"/>
    </w:p>
    <w:p w:rsidR="00BB15F8" w:rsidRDefault="00BB15F8" w:rsidP="00BB15F8"/>
    <w:p w:rsidR="00BB15F8" w:rsidRDefault="00BB15F8" w:rsidP="00BB15F8">
      <w:pPr>
        <w:pStyle w:val="Heading2"/>
      </w:pPr>
      <w:bookmarkStart w:id="47" w:name="_Toc346097190"/>
      <w:r>
        <w:t>Underweight Trends</w:t>
      </w:r>
      <w:bookmarkEnd w:id="47"/>
    </w:p>
    <w:p w:rsidR="00BB15F8" w:rsidRDefault="00BB15F8" w:rsidP="00BB15F8"/>
    <w:p w:rsidR="00E56D30" w:rsidRDefault="00E56D30" w:rsidP="00BB15F8">
      <w:r>
        <w:t xml:space="preserve">Mean underweight </w:t>
      </w:r>
      <w:proofErr w:type="gramStart"/>
      <w:r>
        <w:t>z</w:t>
      </w:r>
      <w:proofErr w:type="gramEnd"/>
      <w:r>
        <w:t xml:space="preserve"> score by age, CDHS 2010</w:t>
      </w:r>
    </w:p>
    <w:p w:rsidR="00E56D30" w:rsidRPr="00BB15F8" w:rsidRDefault="00E56D30" w:rsidP="00BB15F8">
      <w:r>
        <w:rPr>
          <w:noProof/>
        </w:rPr>
        <w:drawing>
          <wp:inline distT="0" distB="0" distL="0" distR="0" wp14:anchorId="4C614333" wp14:editId="621249F2">
            <wp:extent cx="5943600" cy="3460750"/>
            <wp:effectExtent l="0" t="0" r="1905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15F8" w:rsidRDefault="00BB15F8" w:rsidP="00BB15F8">
      <w:r>
        <w:rPr>
          <w:noProof/>
        </w:rPr>
        <w:drawing>
          <wp:inline distT="0" distB="0" distL="0" distR="0" wp14:anchorId="2AA99061" wp14:editId="4614B074">
            <wp:extent cx="4572000" cy="3124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15F8" w:rsidRDefault="00BB15F8" w:rsidP="00BB15F8">
      <w:r>
        <w:rPr>
          <w:noProof/>
        </w:rPr>
        <w:lastRenderedPageBreak/>
        <w:drawing>
          <wp:inline distT="0" distB="0" distL="0" distR="0" wp14:anchorId="22C23C77" wp14:editId="10967168">
            <wp:extent cx="4572000" cy="3124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15F8" w:rsidRDefault="00BB15F8" w:rsidP="00BB15F8">
      <w:r>
        <w:rPr>
          <w:noProof/>
        </w:rPr>
        <w:drawing>
          <wp:inline distT="0" distB="0" distL="0" distR="0" wp14:anchorId="768963E4" wp14:editId="0FCA1C1D">
            <wp:extent cx="4686300" cy="3119439"/>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B15F8" w:rsidRDefault="00BB15F8" w:rsidP="00BB15F8"/>
    <w:p w:rsidR="00BB15F8" w:rsidRDefault="00BB15F8" w:rsidP="00BB15F8"/>
    <w:p w:rsidR="00BB15F8" w:rsidRDefault="00BB15F8" w:rsidP="00BB15F8">
      <w:r>
        <w:br w:type="page"/>
      </w:r>
    </w:p>
    <w:p w:rsidR="00BB15F8" w:rsidRDefault="00BB15F8" w:rsidP="00BB15F8">
      <w:pPr>
        <w:sectPr w:rsidR="00BB15F8" w:rsidSect="00FD541F">
          <w:pgSz w:w="12240" w:h="15840"/>
          <w:pgMar w:top="1440" w:right="1440" w:bottom="1440" w:left="1440" w:header="720" w:footer="720" w:gutter="0"/>
          <w:cols w:space="440"/>
          <w:docGrid w:linePitch="360"/>
        </w:sectPr>
      </w:pPr>
    </w:p>
    <w:p w:rsidR="00BB15F8" w:rsidRDefault="00BB15F8" w:rsidP="00BB15F8"/>
    <w:tbl>
      <w:tblPr>
        <w:tblW w:w="11261" w:type="dxa"/>
        <w:tblInd w:w="93" w:type="dxa"/>
        <w:tblLook w:val="04A0" w:firstRow="1" w:lastRow="0" w:firstColumn="1" w:lastColumn="0" w:noHBand="0" w:noVBand="1"/>
      </w:tblPr>
      <w:tblGrid>
        <w:gridCol w:w="1780"/>
        <w:gridCol w:w="640"/>
        <w:gridCol w:w="727"/>
        <w:gridCol w:w="1800"/>
        <w:gridCol w:w="257"/>
        <w:gridCol w:w="727"/>
        <w:gridCol w:w="1800"/>
        <w:gridCol w:w="257"/>
        <w:gridCol w:w="1300"/>
        <w:gridCol w:w="2200"/>
      </w:tblGrid>
      <w:tr w:rsidR="00BB15F8" w:rsidRPr="003B6A10" w:rsidTr="00B23ACD">
        <w:trPr>
          <w:trHeight w:val="315"/>
        </w:trPr>
        <w:tc>
          <w:tcPr>
            <w:tcW w:w="1780" w:type="dxa"/>
            <w:tcBorders>
              <w:top w:val="single" w:sz="4" w:space="0" w:color="auto"/>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640" w:type="dxa"/>
            <w:tcBorders>
              <w:top w:val="single" w:sz="4" w:space="0" w:color="auto"/>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5161" w:type="dxa"/>
            <w:gridSpan w:val="5"/>
            <w:tcBorders>
              <w:top w:val="single" w:sz="4" w:space="0" w:color="auto"/>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24"/>
                <w:szCs w:val="24"/>
              </w:rPr>
            </w:pPr>
            <w:r w:rsidRPr="003B6A10">
              <w:rPr>
                <w:rFonts w:ascii="Calibri" w:eastAsia="Times New Roman" w:hAnsi="Calibri" w:cs="Calibri"/>
                <w:b/>
                <w:bCs/>
                <w:color w:val="000000"/>
                <w:sz w:val="24"/>
                <w:szCs w:val="24"/>
              </w:rPr>
              <w:t>2010 CDHS</w:t>
            </w:r>
          </w:p>
        </w:tc>
        <w:tc>
          <w:tcPr>
            <w:tcW w:w="180" w:type="dxa"/>
            <w:tcBorders>
              <w:top w:val="single" w:sz="4" w:space="0" w:color="auto"/>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1300" w:type="dxa"/>
            <w:tcBorders>
              <w:top w:val="single" w:sz="4" w:space="0" w:color="auto"/>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20"/>
                <w:szCs w:val="20"/>
              </w:rPr>
            </w:pPr>
          </w:p>
        </w:tc>
        <w:tc>
          <w:tcPr>
            <w:tcW w:w="2200" w:type="dxa"/>
            <w:tcBorders>
              <w:top w:val="single" w:sz="4" w:space="0" w:color="auto"/>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r>
      <w:tr w:rsidR="00BB15F8" w:rsidRPr="003B6A10" w:rsidTr="00B23ACD">
        <w:trPr>
          <w:trHeight w:val="255"/>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5161" w:type="dxa"/>
            <w:gridSpan w:val="5"/>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20"/>
                <w:szCs w:val="20"/>
              </w:rPr>
            </w:pPr>
            <w:r w:rsidRPr="003B6A10">
              <w:rPr>
                <w:rFonts w:ascii="Calibri" w:eastAsia="Times New Roman" w:hAnsi="Calibri" w:cs="Calibri"/>
                <w:b/>
                <w:bCs/>
                <w:color w:val="000000"/>
                <w:sz w:val="20"/>
                <w:szCs w:val="20"/>
              </w:rPr>
              <w:t>Underweight</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20"/>
                <w:szCs w:val="20"/>
              </w:rPr>
            </w:pP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r>
      <w:tr w:rsidR="00BB15F8" w:rsidRPr="003B6A10" w:rsidTr="00B23ACD">
        <w:trPr>
          <w:trHeight w:val="255"/>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2527" w:type="dxa"/>
            <w:gridSpan w:val="2"/>
            <w:tcBorders>
              <w:top w:val="single" w:sz="4" w:space="0" w:color="auto"/>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20"/>
                <w:szCs w:val="20"/>
              </w:rPr>
            </w:pPr>
            <w:r w:rsidRPr="003B6A10">
              <w:rPr>
                <w:rFonts w:ascii="Calibri" w:eastAsia="Times New Roman" w:hAnsi="Calibri" w:cs="Calibri"/>
                <w:b/>
                <w:bCs/>
                <w:color w:val="000000"/>
                <w:sz w:val="20"/>
                <w:szCs w:val="20"/>
              </w:rPr>
              <w:t>Urban Areas</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2527" w:type="dxa"/>
            <w:gridSpan w:val="2"/>
            <w:tcBorders>
              <w:top w:val="single" w:sz="4" w:space="0" w:color="auto"/>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20"/>
                <w:szCs w:val="20"/>
              </w:rPr>
            </w:pPr>
            <w:r w:rsidRPr="003B6A10">
              <w:rPr>
                <w:rFonts w:ascii="Calibri" w:eastAsia="Times New Roman" w:hAnsi="Calibri" w:cs="Calibri"/>
                <w:b/>
                <w:bCs/>
                <w:color w:val="000000"/>
                <w:sz w:val="20"/>
                <w:szCs w:val="20"/>
              </w:rPr>
              <w:t>Rural Areas</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20"/>
                <w:szCs w:val="20"/>
              </w:rPr>
            </w:pP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20"/>
                <w:szCs w:val="20"/>
              </w:rPr>
            </w:pPr>
          </w:p>
        </w:tc>
      </w:tr>
      <w:tr w:rsidR="00BB15F8" w:rsidRPr="003B6A10" w:rsidTr="00B23ACD">
        <w:trPr>
          <w:trHeight w:val="765"/>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b/>
                <w:bCs/>
                <w:color w:val="000000"/>
                <w:sz w:val="18"/>
                <w:szCs w:val="18"/>
              </w:rPr>
            </w:pP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b/>
                <w:bCs/>
                <w:color w:val="000000"/>
                <w:sz w:val="18"/>
                <w:szCs w:val="18"/>
              </w:rPr>
            </w:pPr>
          </w:p>
        </w:tc>
        <w:tc>
          <w:tcPr>
            <w:tcW w:w="72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Mean</w:t>
            </w:r>
          </w:p>
        </w:tc>
        <w:tc>
          <w:tcPr>
            <w:tcW w:w="180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N (</w:t>
            </w:r>
            <w:proofErr w:type="spellStart"/>
            <w:r w:rsidRPr="003B6A10">
              <w:rPr>
                <w:rFonts w:ascii="Calibri" w:eastAsia="Times New Roman" w:hAnsi="Calibri" w:cs="Calibri"/>
                <w:b/>
                <w:bCs/>
                <w:color w:val="000000"/>
                <w:sz w:val="18"/>
                <w:szCs w:val="18"/>
              </w:rPr>
              <w:t>unweighted</w:t>
            </w:r>
            <w:proofErr w:type="spellEnd"/>
            <w:r w:rsidRPr="003B6A10">
              <w:rPr>
                <w:rFonts w:ascii="Calibri" w:eastAsia="Times New Roman" w:hAnsi="Calibri" w:cs="Calibri"/>
                <w:b/>
                <w:bCs/>
                <w:color w:val="000000"/>
                <w:sz w:val="18"/>
                <w:szCs w:val="18"/>
              </w:rPr>
              <w:t>)</w:t>
            </w:r>
          </w:p>
        </w:tc>
        <w:tc>
          <w:tcPr>
            <w:tcW w:w="10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 </w:t>
            </w:r>
          </w:p>
        </w:tc>
        <w:tc>
          <w:tcPr>
            <w:tcW w:w="72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Mean</w:t>
            </w:r>
          </w:p>
        </w:tc>
        <w:tc>
          <w:tcPr>
            <w:tcW w:w="180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N (</w:t>
            </w:r>
            <w:proofErr w:type="spellStart"/>
            <w:r w:rsidRPr="003B6A10">
              <w:rPr>
                <w:rFonts w:ascii="Calibri" w:eastAsia="Times New Roman" w:hAnsi="Calibri" w:cs="Calibri"/>
                <w:b/>
                <w:bCs/>
                <w:color w:val="000000"/>
                <w:sz w:val="18"/>
                <w:szCs w:val="18"/>
              </w:rPr>
              <w:t>unweighted</w:t>
            </w:r>
            <w:proofErr w:type="spellEnd"/>
            <w:r w:rsidRPr="003B6A10">
              <w:rPr>
                <w:rFonts w:ascii="Calibri" w:eastAsia="Times New Roman" w:hAnsi="Calibri" w:cs="Calibri"/>
                <w:b/>
                <w:bCs/>
                <w:color w:val="000000"/>
                <w:sz w:val="18"/>
                <w:szCs w:val="18"/>
              </w:rPr>
              <w:t>)</w:t>
            </w:r>
          </w:p>
        </w:tc>
        <w:tc>
          <w:tcPr>
            <w:tcW w:w="18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 </w:t>
            </w:r>
          </w:p>
        </w:tc>
        <w:tc>
          <w:tcPr>
            <w:tcW w:w="1300" w:type="dxa"/>
            <w:tcBorders>
              <w:top w:val="nil"/>
              <w:left w:val="nil"/>
              <w:bottom w:val="single" w:sz="4" w:space="0" w:color="auto"/>
              <w:right w:val="nil"/>
            </w:tcBorders>
            <w:shd w:val="clear" w:color="auto" w:fill="auto"/>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Percentage Point Difference (</w:t>
            </w:r>
            <w:r>
              <w:rPr>
                <w:rFonts w:ascii="Calibri" w:eastAsia="Times New Roman" w:hAnsi="Calibri" w:cs="Calibri"/>
                <w:b/>
                <w:bCs/>
                <w:color w:val="000000"/>
                <w:sz w:val="18"/>
                <w:szCs w:val="18"/>
              </w:rPr>
              <w:t>Urban</w:t>
            </w:r>
            <w:r w:rsidRPr="003B6A10">
              <w:rPr>
                <w:rFonts w:ascii="Calibri" w:eastAsia="Times New Roman" w:hAnsi="Calibri" w:cs="Calibri"/>
                <w:b/>
                <w:bCs/>
                <w:color w:val="000000"/>
                <w:sz w:val="18"/>
                <w:szCs w:val="18"/>
              </w:rPr>
              <w:t xml:space="preserve"> - </w:t>
            </w:r>
            <w:r>
              <w:rPr>
                <w:rFonts w:ascii="Calibri" w:eastAsia="Times New Roman" w:hAnsi="Calibri" w:cs="Calibri"/>
                <w:b/>
                <w:bCs/>
                <w:color w:val="000000"/>
                <w:sz w:val="18"/>
                <w:szCs w:val="18"/>
              </w:rPr>
              <w:t>Rural</w:t>
            </w:r>
            <w:r w:rsidRPr="003B6A10">
              <w:rPr>
                <w:rFonts w:ascii="Calibri" w:eastAsia="Times New Roman" w:hAnsi="Calibri" w:cs="Calibri"/>
                <w:b/>
                <w:bCs/>
                <w:color w:val="000000"/>
                <w:sz w:val="18"/>
                <w:szCs w:val="18"/>
              </w:rPr>
              <w:t>)</w:t>
            </w:r>
          </w:p>
        </w:tc>
        <w:tc>
          <w:tcPr>
            <w:tcW w:w="2200" w:type="dxa"/>
            <w:tcBorders>
              <w:top w:val="nil"/>
              <w:left w:val="nil"/>
              <w:bottom w:val="single" w:sz="4" w:space="0" w:color="auto"/>
              <w:right w:val="single" w:sz="4" w:space="0" w:color="auto"/>
            </w:tcBorders>
            <w:shd w:val="clear" w:color="auto" w:fill="auto"/>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Percentage Point Difference (</w:t>
            </w:r>
            <w:proofErr w:type="spellStart"/>
            <w:r w:rsidRPr="003B6A10">
              <w:rPr>
                <w:rFonts w:ascii="Calibri" w:eastAsia="Times New Roman" w:hAnsi="Calibri" w:cs="Calibri"/>
                <w:b/>
                <w:bCs/>
                <w:color w:val="000000"/>
                <w:sz w:val="18"/>
                <w:szCs w:val="18"/>
              </w:rPr>
              <w:t>Urban</w:t>
            </w:r>
            <w:r w:rsidRPr="003B6A10">
              <w:rPr>
                <w:rFonts w:ascii="Calibri" w:eastAsia="Times New Roman" w:hAnsi="Calibri" w:cs="Calibri"/>
                <w:b/>
                <w:bCs/>
                <w:color w:val="000000"/>
                <w:sz w:val="18"/>
                <w:szCs w:val="18"/>
                <w:vertAlign w:val="subscript"/>
              </w:rPr>
              <w:t>total</w:t>
            </w:r>
            <w:proofErr w:type="spellEnd"/>
            <w:r w:rsidRPr="003B6A10">
              <w:rPr>
                <w:rFonts w:ascii="Calibri" w:eastAsia="Times New Roman" w:hAnsi="Calibri" w:cs="Calibri"/>
                <w:b/>
                <w:bCs/>
                <w:color w:val="000000"/>
                <w:sz w:val="18"/>
                <w:szCs w:val="18"/>
              </w:rPr>
              <w:t xml:space="preserve"> - Urban)</w:t>
            </w:r>
          </w:p>
        </w:tc>
      </w:tr>
      <w:tr w:rsidR="00BB15F8" w:rsidRPr="003B6A10" w:rsidTr="00B23ACD">
        <w:trPr>
          <w:trHeight w:val="240"/>
        </w:trPr>
        <w:tc>
          <w:tcPr>
            <w:tcW w:w="1780" w:type="dxa"/>
            <w:tcBorders>
              <w:top w:val="single" w:sz="4" w:space="0" w:color="auto"/>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Banteay</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Meanchey</w:t>
            </w:r>
            <w:proofErr w:type="spellEnd"/>
          </w:p>
        </w:tc>
        <w:tc>
          <w:tcPr>
            <w:tcW w:w="640" w:type="dxa"/>
            <w:tcBorders>
              <w:top w:val="single" w:sz="4" w:space="0" w:color="auto"/>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 </w:t>
            </w: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14.1%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90</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18.1%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145</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-4.0%</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4.7%</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Kampong Cham</w:t>
            </w: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21.6%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47</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32.0%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167</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-10.4%</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-2.8%</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 xml:space="preserve">Kampong </w:t>
            </w:r>
            <w:proofErr w:type="spellStart"/>
            <w:r w:rsidRPr="003B6A10">
              <w:rPr>
                <w:rFonts w:ascii="Calibri" w:eastAsia="Times New Roman" w:hAnsi="Calibri" w:cs="Calibri"/>
                <w:color w:val="000000"/>
                <w:sz w:val="18"/>
                <w:szCs w:val="18"/>
              </w:rPr>
              <w:t>Chhnang</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35.6%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49</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30.5%</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210</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5.1%</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-16.8%</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 xml:space="preserve">Kampong </w:t>
            </w:r>
            <w:proofErr w:type="spellStart"/>
            <w:r w:rsidRPr="003B6A10">
              <w:rPr>
                <w:rFonts w:ascii="Calibri" w:eastAsia="Times New Roman" w:hAnsi="Calibri" w:cs="Calibri"/>
                <w:color w:val="000000"/>
                <w:sz w:val="18"/>
                <w:szCs w:val="18"/>
              </w:rPr>
              <w:t>Speu</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31.4%</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39</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35.0%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163</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-3.6%</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-12.6%</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Kampong Thom</w:t>
            </w: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12.6%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33</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35.3%</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184</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-22.7%</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6.2%</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Kandal</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20.9%</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44</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25.1%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146</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-4.2%</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-2.1%</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Kratie</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23.8%</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50</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31.3%</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190</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-7.6%</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-5.0%</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PP</w:t>
            </w: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16.6%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172</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36.8%</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32</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-20.2%</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2.2%</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 xml:space="preserve">Prey </w:t>
            </w:r>
            <w:proofErr w:type="spellStart"/>
            <w:r w:rsidRPr="003B6A10">
              <w:rPr>
                <w:rFonts w:ascii="Calibri" w:eastAsia="Times New Roman" w:hAnsi="Calibri" w:cs="Calibri"/>
                <w:color w:val="000000"/>
                <w:sz w:val="18"/>
                <w:szCs w:val="18"/>
              </w:rPr>
              <w:t>Veng</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22.8%</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26</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25.5%</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193</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-2.7%</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-4.0%</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Pursat</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13.0%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35</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31.4%</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162</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-18.4%</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5.8%</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Siem</w:t>
            </w:r>
            <w:proofErr w:type="spellEnd"/>
            <w:r w:rsidRPr="003B6A10">
              <w:rPr>
                <w:rFonts w:ascii="Calibri" w:eastAsia="Times New Roman" w:hAnsi="Calibri" w:cs="Calibri"/>
                <w:color w:val="000000"/>
                <w:sz w:val="18"/>
                <w:szCs w:val="18"/>
              </w:rPr>
              <w:t xml:space="preserve"> Reap</w:t>
            </w: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18.6%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64</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38.1%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148</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-19.4%</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0.2%</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Svay</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Rieng</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17.1%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29</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30.0%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152</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-12.9%</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1.7%</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r w:rsidRPr="003B6A10">
              <w:rPr>
                <w:rFonts w:ascii="Calibri" w:eastAsia="Times New Roman" w:hAnsi="Calibri" w:cs="Calibri"/>
                <w:color w:val="000000"/>
                <w:sz w:val="18"/>
                <w:szCs w:val="18"/>
              </w:rPr>
              <w:t>Takeo</w:t>
            </w: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16.1%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18</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31.3%</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171</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-15.2%</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2.7%</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Otdar</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Meanchey</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25.6%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57</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31.2%</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121</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-5.6%</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-6.8%</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Battambang</w:t>
            </w:r>
            <w:proofErr w:type="spellEnd"/>
            <w:r w:rsidRPr="003B6A10">
              <w:rPr>
                <w:rFonts w:ascii="Calibri" w:eastAsia="Times New Roman" w:hAnsi="Calibri" w:cs="Calibri"/>
                <w:color w:val="000000"/>
                <w:sz w:val="18"/>
                <w:szCs w:val="18"/>
              </w:rPr>
              <w:t xml:space="preserve"> / </w:t>
            </w:r>
            <w:proofErr w:type="spellStart"/>
            <w:r w:rsidRPr="003B6A10">
              <w:rPr>
                <w:rFonts w:ascii="Calibri" w:eastAsia="Times New Roman" w:hAnsi="Calibri" w:cs="Calibri"/>
                <w:color w:val="000000"/>
                <w:sz w:val="18"/>
                <w:szCs w:val="18"/>
              </w:rPr>
              <w:t>Pailin</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22.4%</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42</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21.7%</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140</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0.7%</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-3.6%</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Kampot</w:t>
            </w:r>
            <w:proofErr w:type="spellEnd"/>
            <w:r w:rsidRPr="003B6A10">
              <w:rPr>
                <w:rFonts w:ascii="Calibri" w:eastAsia="Times New Roman" w:hAnsi="Calibri" w:cs="Calibri"/>
                <w:color w:val="000000"/>
                <w:sz w:val="18"/>
                <w:szCs w:val="18"/>
              </w:rPr>
              <w:t xml:space="preserve"> / </w:t>
            </w:r>
            <w:proofErr w:type="spellStart"/>
            <w:r w:rsidRPr="003B6A10">
              <w:rPr>
                <w:rFonts w:ascii="Calibri" w:eastAsia="Times New Roman" w:hAnsi="Calibri" w:cs="Calibri"/>
                <w:color w:val="000000"/>
                <w:sz w:val="18"/>
                <w:szCs w:val="18"/>
              </w:rPr>
              <w:t>Kep</w:t>
            </w:r>
            <w:proofErr w:type="spellEnd"/>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23.1%</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41</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30.5%</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133</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-7.3%</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-4.3%</w:t>
            </w:r>
          </w:p>
        </w:tc>
      </w:tr>
      <w:tr w:rsidR="00BB15F8" w:rsidRPr="003B6A10" w:rsidTr="00B23ACD">
        <w:trPr>
          <w:trHeight w:val="240"/>
        </w:trPr>
        <w:tc>
          <w:tcPr>
            <w:tcW w:w="2420" w:type="dxa"/>
            <w:gridSpan w:val="2"/>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Preah</w:t>
            </w:r>
            <w:proofErr w:type="spellEnd"/>
            <w:r w:rsidRPr="003B6A10">
              <w:rPr>
                <w:rFonts w:ascii="Calibri" w:eastAsia="Times New Roman" w:hAnsi="Calibri" w:cs="Calibri"/>
                <w:color w:val="000000"/>
                <w:sz w:val="18"/>
                <w:szCs w:val="18"/>
              </w:rPr>
              <w:t xml:space="preserve"> Sihanouk / </w:t>
            </w:r>
            <w:proofErr w:type="spellStart"/>
            <w:r w:rsidRPr="003B6A10">
              <w:rPr>
                <w:rFonts w:ascii="Calibri" w:eastAsia="Times New Roman" w:hAnsi="Calibri" w:cs="Calibri"/>
                <w:color w:val="000000"/>
                <w:sz w:val="18"/>
                <w:szCs w:val="18"/>
              </w:rPr>
              <w:t>Koh</w:t>
            </w:r>
            <w:proofErr w:type="spellEnd"/>
            <w:r w:rsidRPr="003B6A10">
              <w:rPr>
                <w:rFonts w:ascii="Calibri" w:eastAsia="Times New Roman" w:hAnsi="Calibri" w:cs="Calibri"/>
                <w:color w:val="000000"/>
                <w:sz w:val="18"/>
                <w:szCs w:val="18"/>
              </w:rPr>
              <w:t xml:space="preserve"> Kong</w:t>
            </w: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12.9%</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90</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26.5%</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123</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-13.6%</w:t>
            </w: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5.9%</w:t>
            </w:r>
          </w:p>
        </w:tc>
      </w:tr>
      <w:tr w:rsidR="00BB15F8" w:rsidRPr="003B6A10" w:rsidTr="00B23ACD">
        <w:trPr>
          <w:trHeight w:val="240"/>
        </w:trPr>
        <w:tc>
          <w:tcPr>
            <w:tcW w:w="2420" w:type="dxa"/>
            <w:gridSpan w:val="2"/>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Preah</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Vihear</w:t>
            </w:r>
            <w:proofErr w:type="spellEnd"/>
            <w:r w:rsidRPr="003B6A10">
              <w:rPr>
                <w:rFonts w:ascii="Calibri" w:eastAsia="Times New Roman" w:hAnsi="Calibri" w:cs="Calibri"/>
                <w:color w:val="000000"/>
                <w:sz w:val="18"/>
                <w:szCs w:val="18"/>
              </w:rPr>
              <w:t xml:space="preserve"> / Stung </w:t>
            </w:r>
            <w:proofErr w:type="spellStart"/>
            <w:r w:rsidRPr="003B6A10">
              <w:rPr>
                <w:rFonts w:ascii="Calibri" w:eastAsia="Times New Roman" w:hAnsi="Calibri" w:cs="Calibri"/>
                <w:color w:val="000000"/>
                <w:sz w:val="18"/>
                <w:szCs w:val="18"/>
              </w:rPr>
              <w:t>Treng</w:t>
            </w:r>
            <w:proofErr w:type="spellEnd"/>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62</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37.6%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192</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-6.7%</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-12.2%</w:t>
            </w:r>
          </w:p>
        </w:tc>
      </w:tr>
      <w:tr w:rsidR="00BB15F8" w:rsidRPr="003B6A10" w:rsidTr="00B23ACD">
        <w:trPr>
          <w:trHeight w:val="240"/>
        </w:trPr>
        <w:tc>
          <w:tcPr>
            <w:tcW w:w="2420" w:type="dxa"/>
            <w:gridSpan w:val="2"/>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roofErr w:type="spellStart"/>
            <w:r w:rsidRPr="003B6A10">
              <w:rPr>
                <w:rFonts w:ascii="Calibri" w:eastAsia="Times New Roman" w:hAnsi="Calibri" w:cs="Calibri"/>
                <w:color w:val="000000"/>
                <w:sz w:val="18"/>
                <w:szCs w:val="18"/>
              </w:rPr>
              <w:t>Mondul</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Kiri</w:t>
            </w:r>
            <w:proofErr w:type="spellEnd"/>
            <w:r w:rsidRPr="003B6A10">
              <w:rPr>
                <w:rFonts w:ascii="Calibri" w:eastAsia="Times New Roman" w:hAnsi="Calibri" w:cs="Calibri"/>
                <w:color w:val="000000"/>
                <w:sz w:val="18"/>
                <w:szCs w:val="18"/>
              </w:rPr>
              <w:t xml:space="preserve"> / </w:t>
            </w:r>
            <w:proofErr w:type="spellStart"/>
            <w:r w:rsidRPr="003B6A10">
              <w:rPr>
                <w:rFonts w:ascii="Calibri" w:eastAsia="Times New Roman" w:hAnsi="Calibri" w:cs="Calibri"/>
                <w:color w:val="000000"/>
                <w:sz w:val="18"/>
                <w:szCs w:val="18"/>
              </w:rPr>
              <w:t>Rattanak</w:t>
            </w:r>
            <w:proofErr w:type="spellEnd"/>
            <w:r w:rsidRPr="003B6A10">
              <w:rPr>
                <w:rFonts w:ascii="Calibri" w:eastAsia="Times New Roman" w:hAnsi="Calibri" w:cs="Calibri"/>
                <w:color w:val="000000"/>
                <w:sz w:val="18"/>
                <w:szCs w:val="18"/>
              </w:rPr>
              <w:t xml:space="preserve"> </w:t>
            </w:r>
            <w:proofErr w:type="spellStart"/>
            <w:r w:rsidRPr="003B6A10">
              <w:rPr>
                <w:rFonts w:ascii="Calibri" w:eastAsia="Times New Roman" w:hAnsi="Calibri" w:cs="Calibri"/>
                <w:color w:val="000000"/>
                <w:sz w:val="18"/>
                <w:szCs w:val="18"/>
              </w:rPr>
              <w:t>Kiri</w:t>
            </w:r>
            <w:proofErr w:type="spellEnd"/>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31.0%</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63</w:t>
            </w: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34.6%</w:t>
            </w: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230</w:t>
            </w: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r w:rsidRPr="003B6A10">
              <w:rPr>
                <w:rFonts w:ascii="Calibri" w:eastAsia="Times New Roman" w:hAnsi="Calibri" w:cs="Calibri"/>
                <w:color w:val="000000"/>
                <w:sz w:val="18"/>
                <w:szCs w:val="18"/>
              </w:rPr>
              <w:t>-3.6%</w:t>
            </w:r>
          </w:p>
        </w:tc>
        <w:tc>
          <w:tcPr>
            <w:tcW w:w="2200" w:type="dxa"/>
            <w:tcBorders>
              <w:top w:val="nil"/>
              <w:left w:val="nil"/>
              <w:bottom w:val="nil"/>
              <w:right w:val="single" w:sz="4" w:space="0" w:color="auto"/>
            </w:tcBorders>
            <w:shd w:val="clear" w:color="000000" w:fill="FFC7CE"/>
            <w:noWrap/>
            <w:vAlign w:val="bottom"/>
            <w:hideMark/>
          </w:tcPr>
          <w:p w:rsidR="00BB15F8" w:rsidRPr="003B6A10" w:rsidRDefault="00BB15F8" w:rsidP="00AF26DD">
            <w:pPr>
              <w:spacing w:after="0" w:line="240" w:lineRule="auto"/>
              <w:jc w:val="center"/>
              <w:rPr>
                <w:rFonts w:ascii="Calibri" w:eastAsia="Times New Roman" w:hAnsi="Calibri" w:cs="Calibri"/>
                <w:color w:val="9C0006"/>
                <w:sz w:val="18"/>
                <w:szCs w:val="18"/>
              </w:rPr>
            </w:pPr>
            <w:r w:rsidRPr="003B6A10">
              <w:rPr>
                <w:rFonts w:ascii="Calibri" w:eastAsia="Times New Roman" w:hAnsi="Calibri" w:cs="Calibri"/>
                <w:color w:val="9C0006"/>
                <w:sz w:val="18"/>
                <w:szCs w:val="18"/>
              </w:rPr>
              <w:t>-12.2%</w:t>
            </w:r>
          </w:p>
        </w:tc>
      </w:tr>
      <w:tr w:rsidR="00BB15F8" w:rsidRPr="003B6A10" w:rsidTr="00B23ACD">
        <w:trPr>
          <w:trHeight w:val="240"/>
        </w:trPr>
        <w:tc>
          <w:tcPr>
            <w:tcW w:w="1780" w:type="dxa"/>
            <w:tcBorders>
              <w:top w:val="nil"/>
              <w:left w:val="single" w:sz="4" w:space="0" w:color="auto"/>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64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p>
        </w:tc>
        <w:tc>
          <w:tcPr>
            <w:tcW w:w="10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8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nil"/>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p>
        </w:tc>
        <w:tc>
          <w:tcPr>
            <w:tcW w:w="2200" w:type="dxa"/>
            <w:tcBorders>
              <w:top w:val="nil"/>
              <w:left w:val="nil"/>
              <w:bottom w:val="nil"/>
              <w:right w:val="single" w:sz="4" w:space="0" w:color="auto"/>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r>
      <w:tr w:rsidR="00BB15F8" w:rsidRPr="003B6A10" w:rsidTr="00B23ACD">
        <w:trPr>
          <w:trHeight w:val="240"/>
        </w:trPr>
        <w:tc>
          <w:tcPr>
            <w:tcW w:w="1780" w:type="dxa"/>
            <w:tcBorders>
              <w:top w:val="nil"/>
              <w:left w:val="single" w:sz="4" w:space="0" w:color="auto"/>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Total</w:t>
            </w:r>
          </w:p>
        </w:tc>
        <w:tc>
          <w:tcPr>
            <w:tcW w:w="64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72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18.8%</w:t>
            </w:r>
          </w:p>
        </w:tc>
        <w:tc>
          <w:tcPr>
            <w:tcW w:w="180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p>
        </w:tc>
        <w:tc>
          <w:tcPr>
            <w:tcW w:w="10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p>
        </w:tc>
        <w:tc>
          <w:tcPr>
            <w:tcW w:w="727"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b/>
                <w:bCs/>
                <w:color w:val="000000"/>
                <w:sz w:val="18"/>
                <w:szCs w:val="18"/>
              </w:rPr>
            </w:pPr>
            <w:r w:rsidRPr="003B6A10">
              <w:rPr>
                <w:rFonts w:ascii="Calibri" w:eastAsia="Times New Roman" w:hAnsi="Calibri" w:cs="Calibri"/>
                <w:b/>
                <w:bCs/>
                <w:color w:val="000000"/>
                <w:sz w:val="18"/>
                <w:szCs w:val="18"/>
              </w:rPr>
              <w:t>30.0%</w:t>
            </w:r>
          </w:p>
        </w:tc>
        <w:tc>
          <w:tcPr>
            <w:tcW w:w="180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8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c>
          <w:tcPr>
            <w:tcW w:w="1300" w:type="dxa"/>
            <w:tcBorders>
              <w:top w:val="nil"/>
              <w:left w:val="nil"/>
              <w:bottom w:val="single" w:sz="4" w:space="0" w:color="auto"/>
              <w:right w:val="nil"/>
            </w:tcBorders>
            <w:shd w:val="clear" w:color="auto" w:fill="auto"/>
            <w:noWrap/>
            <w:vAlign w:val="bottom"/>
            <w:hideMark/>
          </w:tcPr>
          <w:p w:rsidR="00BB15F8" w:rsidRPr="003B6A10" w:rsidRDefault="00BB15F8" w:rsidP="00AF26DD">
            <w:pPr>
              <w:spacing w:after="0" w:line="240" w:lineRule="auto"/>
              <w:jc w:val="center"/>
              <w:rPr>
                <w:rFonts w:ascii="Calibri" w:eastAsia="Times New Roman" w:hAnsi="Calibri" w:cs="Calibri"/>
                <w:color w:val="000000"/>
                <w:sz w:val="18"/>
                <w:szCs w:val="18"/>
              </w:rPr>
            </w:pPr>
          </w:p>
        </w:tc>
        <w:tc>
          <w:tcPr>
            <w:tcW w:w="2200" w:type="dxa"/>
            <w:tcBorders>
              <w:top w:val="nil"/>
              <w:left w:val="nil"/>
              <w:bottom w:val="single" w:sz="4" w:space="0" w:color="auto"/>
              <w:right w:val="single" w:sz="4" w:space="0" w:color="auto"/>
            </w:tcBorders>
            <w:shd w:val="clear" w:color="auto" w:fill="auto"/>
            <w:noWrap/>
            <w:vAlign w:val="bottom"/>
            <w:hideMark/>
          </w:tcPr>
          <w:p w:rsidR="00BB15F8" w:rsidRPr="003B6A10" w:rsidRDefault="00BB15F8" w:rsidP="00AF26DD">
            <w:pPr>
              <w:spacing w:after="0" w:line="240" w:lineRule="auto"/>
              <w:rPr>
                <w:rFonts w:ascii="Calibri" w:eastAsia="Times New Roman" w:hAnsi="Calibri" w:cs="Calibri"/>
                <w:color w:val="000000"/>
                <w:sz w:val="18"/>
                <w:szCs w:val="18"/>
              </w:rPr>
            </w:pPr>
          </w:p>
        </w:tc>
      </w:tr>
    </w:tbl>
    <w:p w:rsidR="00BB15F8" w:rsidRDefault="00BB15F8" w:rsidP="00BB15F8"/>
    <w:p w:rsidR="009A59B9" w:rsidRDefault="009A59B9" w:rsidP="00BB15F8"/>
    <w:p w:rsidR="009A59B9" w:rsidRDefault="009A59B9" w:rsidP="009A59B9">
      <w:pPr>
        <w:pStyle w:val="Heading2"/>
      </w:pPr>
    </w:p>
    <w:p w:rsidR="009A59B9" w:rsidRDefault="009A59B9" w:rsidP="009A59B9"/>
    <w:p w:rsidR="009A59B9" w:rsidRDefault="009A59B9" w:rsidP="009A59B9"/>
    <w:p w:rsidR="009A59B9" w:rsidRDefault="009A59B9" w:rsidP="009A59B9"/>
    <w:p w:rsidR="009A59B9" w:rsidRDefault="009A59B9" w:rsidP="009A59B9"/>
    <w:p w:rsidR="009A59B9" w:rsidRDefault="009A59B9" w:rsidP="009A59B9"/>
    <w:p w:rsidR="00B23ACD" w:rsidRDefault="00B23ACD" w:rsidP="009A59B9">
      <w:pPr>
        <w:sectPr w:rsidR="00B23ACD" w:rsidSect="00FD541F">
          <w:pgSz w:w="15840" w:h="12240" w:orient="landscape"/>
          <w:pgMar w:top="1440" w:right="1440" w:bottom="1440" w:left="1440" w:header="720" w:footer="720" w:gutter="0"/>
          <w:cols w:space="440"/>
          <w:docGrid w:linePitch="360"/>
        </w:sectPr>
      </w:pPr>
    </w:p>
    <w:p w:rsidR="009A59B9" w:rsidRPr="009A59B9" w:rsidRDefault="009A59B9" w:rsidP="009A59B9"/>
    <w:p w:rsidR="009A59B9" w:rsidRDefault="009A59B9" w:rsidP="009A59B9">
      <w:pPr>
        <w:pStyle w:val="Heading2"/>
      </w:pPr>
    </w:p>
    <w:p w:rsidR="009A59B9" w:rsidRDefault="009A59B9" w:rsidP="009A59B9">
      <w:pPr>
        <w:pStyle w:val="Heading2"/>
      </w:pPr>
      <w:bookmarkStart w:id="48" w:name="_Toc346097191"/>
      <w:r>
        <w:t>Anemia</w:t>
      </w:r>
      <w:bookmarkEnd w:id="48"/>
    </w:p>
    <w:p w:rsidR="009A59B9" w:rsidRPr="009A59B9" w:rsidRDefault="009A59B9" w:rsidP="009A59B9"/>
    <w:p w:rsidR="009A59B9" w:rsidRDefault="006B0F28" w:rsidP="002334E8">
      <w:r>
        <w:rPr>
          <w:noProof/>
        </w:rPr>
        <w:drawing>
          <wp:inline distT="0" distB="0" distL="0" distR="0" wp14:anchorId="57A548CB" wp14:editId="7AE67FCA">
            <wp:extent cx="5943600" cy="2943860"/>
            <wp:effectExtent l="0" t="0" r="1905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A59B9" w:rsidRDefault="00B23ACD" w:rsidP="002334E8">
      <w:r>
        <w:t>Hemoglobin and anemia by weekly iron folic acid supplementation for women of reproductive age</w:t>
      </w:r>
    </w:p>
    <w:tbl>
      <w:tblPr>
        <w:tblW w:w="5960" w:type="dxa"/>
        <w:tblInd w:w="93" w:type="dxa"/>
        <w:tblLook w:val="04A0" w:firstRow="1" w:lastRow="0" w:firstColumn="1" w:lastColumn="0" w:noHBand="0" w:noVBand="1"/>
      </w:tblPr>
      <w:tblGrid>
        <w:gridCol w:w="1520"/>
        <w:gridCol w:w="1180"/>
        <w:gridCol w:w="1180"/>
        <w:gridCol w:w="222"/>
        <w:gridCol w:w="960"/>
        <w:gridCol w:w="960"/>
      </w:tblGrid>
      <w:tr w:rsidR="009A59B9" w:rsidRPr="009A59B9" w:rsidTr="00B23ACD">
        <w:trPr>
          <w:trHeight w:val="240"/>
        </w:trPr>
        <w:tc>
          <w:tcPr>
            <w:tcW w:w="1520" w:type="dxa"/>
            <w:tcBorders>
              <w:top w:val="single" w:sz="4" w:space="0" w:color="auto"/>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WIF</w:t>
            </w:r>
          </w:p>
        </w:tc>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roofErr w:type="spellStart"/>
            <w:r w:rsidRPr="009A59B9">
              <w:rPr>
                <w:rFonts w:ascii="Calibri" w:eastAsia="Times New Roman" w:hAnsi="Calibri" w:cs="Times New Roman"/>
                <w:color w:val="000000"/>
                <w:sz w:val="18"/>
                <w:szCs w:val="18"/>
              </w:rPr>
              <w:t>Hb</w:t>
            </w:r>
            <w:proofErr w:type="spellEnd"/>
            <w:r w:rsidRPr="009A59B9">
              <w:rPr>
                <w:rFonts w:ascii="Calibri" w:eastAsia="Times New Roman" w:hAnsi="Calibri" w:cs="Times New Roman"/>
                <w:color w:val="000000"/>
                <w:sz w:val="18"/>
                <w:szCs w:val="18"/>
              </w:rPr>
              <w:t xml:space="preserve"> (g/</w:t>
            </w:r>
            <w:proofErr w:type="spellStart"/>
            <w:r w:rsidRPr="009A59B9">
              <w:rPr>
                <w:rFonts w:ascii="Calibri" w:eastAsia="Times New Roman" w:hAnsi="Calibri" w:cs="Times New Roman"/>
                <w:color w:val="000000"/>
                <w:sz w:val="18"/>
                <w:szCs w:val="18"/>
              </w:rPr>
              <w:t>dL</w:t>
            </w:r>
            <w:proofErr w:type="spellEnd"/>
            <w:r w:rsidRPr="009A59B9">
              <w:rPr>
                <w:rFonts w:ascii="Calibri" w:eastAsia="Times New Roman" w:hAnsi="Calibri" w:cs="Times New Roman"/>
                <w:color w:val="000000"/>
                <w:sz w:val="18"/>
                <w:szCs w:val="18"/>
              </w:rPr>
              <w:t>)</w:t>
            </w:r>
          </w:p>
        </w:tc>
        <w:tc>
          <w:tcPr>
            <w:tcW w:w="1180" w:type="dxa"/>
            <w:tcBorders>
              <w:top w:val="single" w:sz="4" w:space="0" w:color="auto"/>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N</w:t>
            </w:r>
          </w:p>
        </w:tc>
        <w:tc>
          <w:tcPr>
            <w:tcW w:w="160" w:type="dxa"/>
            <w:tcBorders>
              <w:top w:val="single" w:sz="4" w:space="0" w:color="auto"/>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single" w:sz="4" w:space="0" w:color="auto"/>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F-stat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roofErr w:type="spellStart"/>
            <w:r w:rsidRPr="009A59B9">
              <w:rPr>
                <w:rFonts w:ascii="Calibri" w:eastAsia="Times New Roman" w:hAnsi="Calibri" w:cs="Times New Roman"/>
                <w:color w:val="000000"/>
                <w:sz w:val="18"/>
                <w:szCs w:val="18"/>
              </w:rPr>
              <w:t>prob</w:t>
            </w:r>
            <w:proofErr w:type="spellEnd"/>
            <w:r w:rsidRPr="009A59B9">
              <w:rPr>
                <w:rFonts w:ascii="Calibri" w:eastAsia="Times New Roman" w:hAnsi="Calibri" w:cs="Times New Roman"/>
                <w:color w:val="000000"/>
                <w:sz w:val="18"/>
                <w:szCs w:val="18"/>
              </w:rPr>
              <w:t>&gt;F</w:t>
            </w: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Yes</w:t>
            </w:r>
          </w:p>
        </w:tc>
        <w:tc>
          <w:tcPr>
            <w:tcW w:w="118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12.04</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275</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0.77</w:t>
            </w: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0.381</w:t>
            </w:r>
          </w:p>
        </w:tc>
      </w:tr>
      <w:tr w:rsidR="009A59B9" w:rsidRPr="009A59B9" w:rsidTr="00B23ACD">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No</w:t>
            </w:r>
          </w:p>
        </w:tc>
        <w:tc>
          <w:tcPr>
            <w:tcW w:w="118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12.12</w:t>
            </w:r>
          </w:p>
        </w:tc>
        <w:tc>
          <w:tcPr>
            <w:tcW w:w="1180" w:type="dxa"/>
            <w:tcBorders>
              <w:top w:val="nil"/>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7,102</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Total</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12.11</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7,377</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Diff:</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-0.079</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WIF</w:t>
            </w:r>
          </w:p>
        </w:tc>
        <w:tc>
          <w:tcPr>
            <w:tcW w:w="118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roofErr w:type="spellStart"/>
            <w:r w:rsidRPr="009A59B9">
              <w:rPr>
                <w:rFonts w:ascii="Calibri" w:eastAsia="Times New Roman" w:hAnsi="Calibri" w:cs="Times New Roman"/>
                <w:color w:val="000000"/>
                <w:sz w:val="18"/>
                <w:szCs w:val="18"/>
              </w:rPr>
              <w:t>Anaemia</w:t>
            </w:r>
            <w:proofErr w:type="spellEnd"/>
          </w:p>
        </w:tc>
        <w:tc>
          <w:tcPr>
            <w:tcW w:w="1180" w:type="dxa"/>
            <w:tcBorders>
              <w:top w:val="nil"/>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N</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F-stat</w:t>
            </w:r>
          </w:p>
        </w:tc>
        <w:tc>
          <w:tcPr>
            <w:tcW w:w="960" w:type="dxa"/>
            <w:tcBorders>
              <w:top w:val="nil"/>
              <w:left w:val="nil"/>
              <w:bottom w:val="single" w:sz="4" w:space="0" w:color="auto"/>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roofErr w:type="spellStart"/>
            <w:r w:rsidRPr="009A59B9">
              <w:rPr>
                <w:rFonts w:ascii="Calibri" w:eastAsia="Times New Roman" w:hAnsi="Calibri" w:cs="Times New Roman"/>
                <w:color w:val="000000"/>
                <w:sz w:val="18"/>
                <w:szCs w:val="18"/>
              </w:rPr>
              <w:t>prob</w:t>
            </w:r>
            <w:proofErr w:type="spellEnd"/>
            <w:r w:rsidRPr="009A59B9">
              <w:rPr>
                <w:rFonts w:ascii="Calibri" w:eastAsia="Times New Roman" w:hAnsi="Calibri" w:cs="Times New Roman"/>
                <w:color w:val="000000"/>
                <w:sz w:val="18"/>
                <w:szCs w:val="18"/>
              </w:rPr>
              <w:t>&gt;F</w:t>
            </w: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Yes</w:t>
            </w:r>
          </w:p>
        </w:tc>
        <w:tc>
          <w:tcPr>
            <w:tcW w:w="118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0.429</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275</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0.01</w:t>
            </w: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0.923</w:t>
            </w:r>
          </w:p>
        </w:tc>
      </w:tr>
      <w:tr w:rsidR="009A59B9" w:rsidRPr="009A59B9" w:rsidTr="00B23ACD">
        <w:trPr>
          <w:trHeight w:val="240"/>
        </w:trPr>
        <w:tc>
          <w:tcPr>
            <w:tcW w:w="152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No</w:t>
            </w:r>
          </w:p>
        </w:tc>
        <w:tc>
          <w:tcPr>
            <w:tcW w:w="1180" w:type="dxa"/>
            <w:tcBorders>
              <w:top w:val="nil"/>
              <w:left w:val="single" w:sz="4" w:space="0" w:color="auto"/>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0.426</w:t>
            </w:r>
          </w:p>
        </w:tc>
        <w:tc>
          <w:tcPr>
            <w:tcW w:w="1180" w:type="dxa"/>
            <w:tcBorders>
              <w:top w:val="nil"/>
              <w:left w:val="nil"/>
              <w:bottom w:val="single" w:sz="4" w:space="0" w:color="auto"/>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7,103</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Total</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0.426</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7,378</w:t>
            </w: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Diff:</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r w:rsidRPr="009A59B9">
              <w:rPr>
                <w:rFonts w:ascii="Calibri" w:eastAsia="Times New Roman" w:hAnsi="Calibri" w:cs="Times New Roman"/>
                <w:color w:val="000000"/>
                <w:sz w:val="18"/>
                <w:szCs w:val="18"/>
              </w:rPr>
              <w:t>0.003</w:t>
            </w: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240"/>
        </w:trPr>
        <w:tc>
          <w:tcPr>
            <w:tcW w:w="1520" w:type="dxa"/>
            <w:tcBorders>
              <w:top w:val="nil"/>
              <w:left w:val="single" w:sz="4" w:space="0" w:color="auto"/>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9A59B9" w:rsidRPr="009A59B9" w:rsidRDefault="009A59B9" w:rsidP="009A59B9">
            <w:pPr>
              <w:spacing w:after="0" w:line="240" w:lineRule="auto"/>
              <w:jc w:val="center"/>
              <w:rPr>
                <w:rFonts w:ascii="Calibri" w:eastAsia="Times New Roman" w:hAnsi="Calibri" w:cs="Times New Roman"/>
                <w:color w:val="000000"/>
                <w:sz w:val="18"/>
                <w:szCs w:val="18"/>
              </w:rPr>
            </w:pPr>
          </w:p>
        </w:tc>
      </w:tr>
      <w:tr w:rsidR="009A59B9" w:rsidRPr="009A59B9" w:rsidTr="00B23ACD">
        <w:trPr>
          <w:trHeight w:val="495"/>
        </w:trPr>
        <w:tc>
          <w:tcPr>
            <w:tcW w:w="5960" w:type="dxa"/>
            <w:gridSpan w:val="6"/>
            <w:tcBorders>
              <w:top w:val="nil"/>
              <w:left w:val="single" w:sz="4" w:space="0" w:color="auto"/>
              <w:bottom w:val="single" w:sz="4" w:space="0" w:color="auto"/>
              <w:right w:val="single" w:sz="4" w:space="0" w:color="auto"/>
            </w:tcBorders>
            <w:shd w:val="clear" w:color="auto" w:fill="auto"/>
            <w:vAlign w:val="bottom"/>
            <w:hideMark/>
          </w:tcPr>
          <w:p w:rsidR="009A59B9" w:rsidRPr="009A59B9" w:rsidRDefault="009A59B9" w:rsidP="009A59B9">
            <w:pPr>
              <w:spacing w:after="0" w:line="240" w:lineRule="auto"/>
              <w:rPr>
                <w:rFonts w:ascii="Calibri" w:eastAsia="Times New Roman" w:hAnsi="Calibri" w:cs="Times New Roman"/>
                <w:color w:val="000000"/>
                <w:sz w:val="18"/>
                <w:szCs w:val="18"/>
              </w:rPr>
            </w:pPr>
            <w:proofErr w:type="gramStart"/>
            <w:r w:rsidRPr="009A59B9">
              <w:rPr>
                <w:rFonts w:ascii="Calibri" w:eastAsia="Times New Roman" w:hAnsi="Calibri" w:cs="Times New Roman"/>
                <w:color w:val="000000"/>
                <w:sz w:val="18"/>
                <w:szCs w:val="18"/>
              </w:rPr>
              <w:t>sample</w:t>
            </w:r>
            <w:proofErr w:type="gramEnd"/>
            <w:r w:rsidRPr="009A59B9">
              <w:rPr>
                <w:rFonts w:ascii="Calibri" w:eastAsia="Times New Roman" w:hAnsi="Calibri" w:cs="Times New Roman"/>
                <w:color w:val="000000"/>
                <w:sz w:val="18"/>
                <w:szCs w:val="18"/>
              </w:rPr>
              <w:t xml:space="preserve">: Women aged 15-49 that were not pregnant nor breastfeeding and were tested for </w:t>
            </w:r>
            <w:proofErr w:type="spellStart"/>
            <w:r w:rsidRPr="009A59B9">
              <w:rPr>
                <w:rFonts w:ascii="Calibri" w:eastAsia="Times New Roman" w:hAnsi="Calibri" w:cs="Times New Roman"/>
                <w:color w:val="000000"/>
                <w:sz w:val="18"/>
                <w:szCs w:val="18"/>
              </w:rPr>
              <w:t>anaemia</w:t>
            </w:r>
            <w:proofErr w:type="spellEnd"/>
            <w:r w:rsidRPr="009A59B9">
              <w:rPr>
                <w:rFonts w:ascii="Calibri" w:eastAsia="Times New Roman" w:hAnsi="Calibri" w:cs="Times New Roman"/>
                <w:color w:val="000000"/>
                <w:sz w:val="18"/>
                <w:szCs w:val="18"/>
              </w:rPr>
              <w:t xml:space="preserve"> during the 2010 CDHS.</w:t>
            </w:r>
          </w:p>
        </w:tc>
      </w:tr>
    </w:tbl>
    <w:p w:rsidR="00AF26DD" w:rsidRDefault="00AF26DD" w:rsidP="00704600"/>
    <w:p w:rsidR="00B23ACD" w:rsidRDefault="00B23ACD" w:rsidP="00704600">
      <w:r>
        <w:lastRenderedPageBreak/>
        <w:t>Anemia status by deworming among children 12-59 months</w:t>
      </w:r>
    </w:p>
    <w:tbl>
      <w:tblPr>
        <w:tblW w:w="7223" w:type="dxa"/>
        <w:tblInd w:w="93" w:type="dxa"/>
        <w:tblLook w:val="04A0" w:firstRow="1" w:lastRow="0" w:firstColumn="1" w:lastColumn="0" w:noHBand="0" w:noVBand="1"/>
      </w:tblPr>
      <w:tblGrid>
        <w:gridCol w:w="960"/>
        <w:gridCol w:w="1180"/>
        <w:gridCol w:w="1180"/>
        <w:gridCol w:w="222"/>
        <w:gridCol w:w="960"/>
        <w:gridCol w:w="960"/>
        <w:gridCol w:w="1823"/>
      </w:tblGrid>
      <w:tr w:rsidR="00AF26DD" w:rsidRPr="00AF26DD" w:rsidTr="00B23ACD">
        <w:trPr>
          <w:trHeight w:val="24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Deworm</w:t>
            </w:r>
          </w:p>
        </w:tc>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roofErr w:type="spellStart"/>
            <w:r w:rsidRPr="00AF26DD">
              <w:rPr>
                <w:rFonts w:ascii="Calibri" w:eastAsia="Times New Roman" w:hAnsi="Calibri" w:cs="Times New Roman"/>
                <w:color w:val="000000"/>
                <w:sz w:val="18"/>
                <w:szCs w:val="18"/>
              </w:rPr>
              <w:t>Anaemia</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N</w:t>
            </w:r>
          </w:p>
        </w:tc>
        <w:tc>
          <w:tcPr>
            <w:tcW w:w="160" w:type="dxa"/>
            <w:tcBorders>
              <w:top w:val="single" w:sz="4" w:space="0" w:color="auto"/>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single" w:sz="4" w:space="0" w:color="auto"/>
              <w:left w:val="nil"/>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F-stat</w:t>
            </w:r>
          </w:p>
        </w:tc>
        <w:tc>
          <w:tcPr>
            <w:tcW w:w="960" w:type="dxa"/>
            <w:tcBorders>
              <w:top w:val="single" w:sz="4" w:space="0" w:color="auto"/>
              <w:left w:val="nil"/>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roofErr w:type="spellStart"/>
            <w:r w:rsidRPr="00AF26DD">
              <w:rPr>
                <w:rFonts w:ascii="Calibri" w:eastAsia="Times New Roman" w:hAnsi="Calibri" w:cs="Times New Roman"/>
                <w:color w:val="000000"/>
                <w:sz w:val="18"/>
                <w:szCs w:val="18"/>
              </w:rPr>
              <w:t>prob</w:t>
            </w:r>
            <w:proofErr w:type="spellEnd"/>
            <w:r w:rsidRPr="00AF26DD">
              <w:rPr>
                <w:rFonts w:ascii="Calibri" w:eastAsia="Times New Roman" w:hAnsi="Calibri" w:cs="Times New Roman"/>
                <w:color w:val="000000"/>
                <w:sz w:val="18"/>
                <w:szCs w:val="18"/>
              </w:rPr>
              <w:t>&gt;F</w:t>
            </w:r>
          </w:p>
        </w:tc>
        <w:tc>
          <w:tcPr>
            <w:tcW w:w="1823" w:type="dxa"/>
            <w:tcBorders>
              <w:top w:val="single" w:sz="4" w:space="0" w:color="auto"/>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Yes</w:t>
            </w:r>
          </w:p>
        </w:tc>
        <w:tc>
          <w:tcPr>
            <w:tcW w:w="118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0.486</w:t>
            </w: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1,207</w:t>
            </w: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7.63</w:t>
            </w: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0.006</w:t>
            </w: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*Difference is significant</w:t>
            </w:r>
          </w:p>
        </w:tc>
      </w:tr>
      <w:tr w:rsidR="00AF26DD" w:rsidRPr="00AF26DD" w:rsidTr="00B23ACD">
        <w:trPr>
          <w:trHeight w:val="240"/>
        </w:trPr>
        <w:tc>
          <w:tcPr>
            <w:tcW w:w="960" w:type="dxa"/>
            <w:tcBorders>
              <w:top w:val="nil"/>
              <w:left w:val="single" w:sz="4" w:space="0" w:color="auto"/>
              <w:bottom w:val="single" w:sz="4" w:space="0" w:color="auto"/>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No</w:t>
            </w:r>
          </w:p>
        </w:tc>
        <w:tc>
          <w:tcPr>
            <w:tcW w:w="1180" w:type="dxa"/>
            <w:tcBorders>
              <w:top w:val="nil"/>
              <w:left w:val="single" w:sz="4" w:space="0" w:color="auto"/>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0.538</w:t>
            </w:r>
          </w:p>
        </w:tc>
        <w:tc>
          <w:tcPr>
            <w:tcW w:w="1180" w:type="dxa"/>
            <w:tcBorders>
              <w:top w:val="nil"/>
              <w:left w:val="nil"/>
              <w:bottom w:val="single" w:sz="4" w:space="0" w:color="auto"/>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1,781</w:t>
            </w: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Total</w:t>
            </w: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0.507</w:t>
            </w: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2,988</w:t>
            </w: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Diff:</w:t>
            </w: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r w:rsidRPr="00AF26DD">
              <w:rPr>
                <w:rFonts w:ascii="Calibri" w:eastAsia="Times New Roman" w:hAnsi="Calibri" w:cs="Times New Roman"/>
                <w:color w:val="000000"/>
                <w:sz w:val="18"/>
                <w:szCs w:val="18"/>
              </w:rPr>
              <w:t>-0.0515</w:t>
            </w: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240"/>
        </w:trPr>
        <w:tc>
          <w:tcPr>
            <w:tcW w:w="960" w:type="dxa"/>
            <w:tcBorders>
              <w:top w:val="nil"/>
              <w:left w:val="single" w:sz="4" w:space="0" w:color="auto"/>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18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AF26DD" w:rsidRPr="00AF26DD" w:rsidRDefault="00AF26DD" w:rsidP="00AF26DD">
            <w:pPr>
              <w:spacing w:after="0" w:line="240" w:lineRule="auto"/>
              <w:jc w:val="center"/>
              <w:rPr>
                <w:rFonts w:ascii="Calibri" w:eastAsia="Times New Roman" w:hAnsi="Calibri" w:cs="Times New Roman"/>
                <w:color w:val="000000"/>
                <w:sz w:val="18"/>
                <w:szCs w:val="18"/>
              </w:rPr>
            </w:pPr>
          </w:p>
        </w:tc>
        <w:tc>
          <w:tcPr>
            <w:tcW w:w="1823" w:type="dxa"/>
            <w:tcBorders>
              <w:top w:val="nil"/>
              <w:left w:val="nil"/>
              <w:bottom w:val="nil"/>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r w:rsidR="00AF26DD" w:rsidRPr="00AF26DD" w:rsidTr="00B23ACD">
        <w:trPr>
          <w:trHeight w:val="465"/>
        </w:trPr>
        <w:tc>
          <w:tcPr>
            <w:tcW w:w="5400" w:type="dxa"/>
            <w:gridSpan w:val="6"/>
            <w:tcBorders>
              <w:top w:val="nil"/>
              <w:left w:val="single" w:sz="4" w:space="0" w:color="auto"/>
              <w:bottom w:val="single" w:sz="4" w:space="0" w:color="auto"/>
              <w:right w:val="nil"/>
            </w:tcBorders>
            <w:shd w:val="clear" w:color="auto" w:fill="auto"/>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roofErr w:type="gramStart"/>
            <w:r w:rsidRPr="00AF26DD">
              <w:rPr>
                <w:rFonts w:ascii="Calibri" w:eastAsia="Times New Roman" w:hAnsi="Calibri" w:cs="Times New Roman"/>
                <w:color w:val="000000"/>
                <w:sz w:val="18"/>
                <w:szCs w:val="18"/>
              </w:rPr>
              <w:t>sample</w:t>
            </w:r>
            <w:proofErr w:type="gramEnd"/>
            <w:r w:rsidRPr="00AF26DD">
              <w:rPr>
                <w:rFonts w:ascii="Calibri" w:eastAsia="Times New Roman" w:hAnsi="Calibri" w:cs="Times New Roman"/>
                <w:color w:val="000000"/>
                <w:sz w:val="18"/>
                <w:szCs w:val="18"/>
              </w:rPr>
              <w:t xml:space="preserve">: Children aged 12-59 months who were tested for </w:t>
            </w:r>
            <w:proofErr w:type="spellStart"/>
            <w:r w:rsidRPr="00AF26DD">
              <w:rPr>
                <w:rFonts w:ascii="Calibri" w:eastAsia="Times New Roman" w:hAnsi="Calibri" w:cs="Times New Roman"/>
                <w:color w:val="000000"/>
                <w:sz w:val="18"/>
                <w:szCs w:val="18"/>
              </w:rPr>
              <w:t>anaemia</w:t>
            </w:r>
            <w:proofErr w:type="spellEnd"/>
            <w:r w:rsidRPr="00AF26DD">
              <w:rPr>
                <w:rFonts w:ascii="Calibri" w:eastAsia="Times New Roman" w:hAnsi="Calibri" w:cs="Times New Roman"/>
                <w:color w:val="000000"/>
                <w:sz w:val="18"/>
                <w:szCs w:val="18"/>
              </w:rPr>
              <w:t xml:space="preserve"> during the 2010 CDHS.</w:t>
            </w:r>
          </w:p>
        </w:tc>
        <w:tc>
          <w:tcPr>
            <w:tcW w:w="1823" w:type="dxa"/>
            <w:tcBorders>
              <w:top w:val="nil"/>
              <w:left w:val="nil"/>
              <w:bottom w:val="single" w:sz="4" w:space="0" w:color="auto"/>
              <w:right w:val="single" w:sz="4" w:space="0" w:color="auto"/>
            </w:tcBorders>
            <w:shd w:val="clear" w:color="auto" w:fill="auto"/>
            <w:noWrap/>
            <w:vAlign w:val="bottom"/>
            <w:hideMark/>
          </w:tcPr>
          <w:p w:rsidR="00AF26DD" w:rsidRPr="00AF26DD" w:rsidRDefault="00AF26DD" w:rsidP="00AF26DD">
            <w:pPr>
              <w:spacing w:after="0" w:line="240" w:lineRule="auto"/>
              <w:rPr>
                <w:rFonts w:ascii="Calibri" w:eastAsia="Times New Roman" w:hAnsi="Calibri" w:cs="Times New Roman"/>
                <w:color w:val="000000"/>
                <w:sz w:val="18"/>
                <w:szCs w:val="18"/>
              </w:rPr>
            </w:pPr>
          </w:p>
        </w:tc>
      </w:tr>
    </w:tbl>
    <w:p w:rsidR="007E6127" w:rsidRDefault="007E6127" w:rsidP="00704600"/>
    <w:p w:rsidR="007E6127" w:rsidRDefault="007E6127" w:rsidP="007E6127">
      <w:pPr>
        <w:pStyle w:val="Heading2"/>
      </w:pPr>
      <w:r w:rsidRPr="007E6127">
        <w:rPr>
          <w:noProof/>
        </w:rPr>
        <w:drawing>
          <wp:inline distT="0" distB="0" distL="0" distR="0" wp14:anchorId="773154F7" wp14:editId="3A958ED4">
            <wp:extent cx="5943600" cy="2859405"/>
            <wp:effectExtent l="0" t="0" r="0" b="0"/>
            <wp:docPr id="1028" name="Picture 4" descr="https://lh3.googleusercontent.com/Gf_fV6FWPbE2SqjTPw3sT1UjYsXcrKET4iRgrghW08pTJ7PFuS5ntXfsSqPNEZ3CDYaSwo-kuhSSWZLO23iTRwvI0QaZ49vOssirxReZNUCHsXB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lh3.googleusercontent.com/Gf_fV6FWPbE2SqjTPw3sT1UjYsXcrKET4iRgrghW08pTJ7PFuS5ntXfsSqPNEZ3CDYaSwo-kuhSSWZLO23iTRwvI0QaZ49vOssirxReZNUCHsXBso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859405"/>
                    </a:xfrm>
                    <a:prstGeom prst="rect">
                      <a:avLst/>
                    </a:prstGeom>
                    <a:noFill/>
                    <a:extLst/>
                  </pic:spPr>
                </pic:pic>
              </a:graphicData>
            </a:graphic>
          </wp:inline>
        </w:drawing>
      </w:r>
      <w:bookmarkStart w:id="49" w:name="_Toc346097192"/>
      <w:r w:rsidRPr="007E6127">
        <w:t xml:space="preserve"> </w:t>
      </w:r>
    </w:p>
    <w:p w:rsidR="007E6127" w:rsidRDefault="007E6127" w:rsidP="007E6127">
      <w:pPr>
        <w:pStyle w:val="Heading2"/>
      </w:pPr>
      <w:r>
        <w:t>Infant and Young Child Feeding</w:t>
      </w:r>
      <w:bookmarkEnd w:id="49"/>
    </w:p>
    <w:p w:rsidR="00704600" w:rsidRDefault="00BB15F8" w:rsidP="00704600">
      <w:r>
        <w:br w:type="page"/>
      </w:r>
      <w:r w:rsidR="00704600">
        <w:rPr>
          <w:noProof/>
        </w:rPr>
        <w:lastRenderedPageBreak/>
        <w:drawing>
          <wp:inline distT="0" distB="0" distL="0" distR="0" wp14:anchorId="789CFF12" wp14:editId="39F25A17">
            <wp:extent cx="5943600" cy="2616200"/>
            <wp:effectExtent l="0" t="0" r="190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04600" w:rsidRDefault="00704600" w:rsidP="00704600"/>
    <w:p w:rsidR="00704600" w:rsidRDefault="00704600" w:rsidP="00704600">
      <w:r>
        <w:rPr>
          <w:noProof/>
        </w:rPr>
        <w:drawing>
          <wp:inline distT="0" distB="0" distL="0" distR="0" wp14:anchorId="2176E446" wp14:editId="69200295">
            <wp:extent cx="5943600" cy="2613660"/>
            <wp:effectExtent l="0" t="0" r="1905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04600" w:rsidRDefault="00704600" w:rsidP="00704600">
      <w:r>
        <w:br w:type="page"/>
      </w:r>
    </w:p>
    <w:p w:rsidR="002809D8" w:rsidRDefault="00704600" w:rsidP="002334E8">
      <w:r>
        <w:rPr>
          <w:noProof/>
        </w:rPr>
        <w:lastRenderedPageBreak/>
        <w:drawing>
          <wp:inline distT="0" distB="0" distL="0" distR="0" wp14:anchorId="0C0FEDF7" wp14:editId="5A28DC6B">
            <wp:extent cx="5943600" cy="2680970"/>
            <wp:effectExtent l="0" t="0" r="1905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F02D5" w:rsidRDefault="002F02D5" w:rsidP="002334E8"/>
    <w:p w:rsidR="002F02D5" w:rsidRDefault="002F02D5" w:rsidP="002F02D5"/>
    <w:p w:rsidR="002F02D5" w:rsidRDefault="002F02D5" w:rsidP="002F02D5"/>
    <w:p w:rsidR="00092D6F" w:rsidRDefault="00092D6F" w:rsidP="002F02D5">
      <w:r>
        <w:rPr>
          <w:noProof/>
        </w:rPr>
        <w:drawing>
          <wp:inline distT="0" distB="0" distL="0" distR="0" wp14:anchorId="66C56154" wp14:editId="3D33B958">
            <wp:extent cx="5943600" cy="2520950"/>
            <wp:effectExtent l="0" t="0" r="190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F02D5" w:rsidRPr="002F02D5" w:rsidRDefault="00092D6F" w:rsidP="002F02D5">
      <w:r>
        <w:rPr>
          <w:noProof/>
        </w:rPr>
        <w:lastRenderedPageBreak/>
        <w:drawing>
          <wp:inline distT="0" distB="0" distL="0" distR="0" wp14:anchorId="045A390B" wp14:editId="144B06D5">
            <wp:extent cx="5943600" cy="2553335"/>
            <wp:effectExtent l="0" t="0" r="1905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7E6127">
        <w:rPr>
          <w:noProof/>
        </w:rPr>
        <w:drawing>
          <wp:inline distT="0" distB="0" distL="0" distR="0" wp14:anchorId="1B72C777" wp14:editId="1D5AD0B6">
            <wp:extent cx="5943600" cy="2360930"/>
            <wp:effectExtent l="0" t="0" r="19050"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2F02D5">
        <w:rPr>
          <w:noProof/>
        </w:rPr>
        <w:drawing>
          <wp:inline distT="0" distB="0" distL="0" distR="0" wp14:anchorId="694B7060" wp14:editId="0E230DB0">
            <wp:extent cx="5943600" cy="2367280"/>
            <wp:effectExtent l="0" t="0" r="19050" b="139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sectPr w:rsidR="002F02D5" w:rsidRPr="002F02D5" w:rsidSect="00FD541F">
      <w:pgSz w:w="12240" w:h="15840"/>
      <w:pgMar w:top="1440" w:right="1440" w:bottom="1440" w:left="1440" w:header="720" w:footer="720"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95"/>
    <w:rsid w:val="000217E2"/>
    <w:rsid w:val="000251FC"/>
    <w:rsid w:val="00091037"/>
    <w:rsid w:val="00092D6F"/>
    <w:rsid w:val="000A223A"/>
    <w:rsid w:val="000B228F"/>
    <w:rsid w:val="000F5D1E"/>
    <w:rsid w:val="00115180"/>
    <w:rsid w:val="00115B5F"/>
    <w:rsid w:val="00116798"/>
    <w:rsid w:val="00127B74"/>
    <w:rsid w:val="00137661"/>
    <w:rsid w:val="0017225E"/>
    <w:rsid w:val="00172A15"/>
    <w:rsid w:val="00191A29"/>
    <w:rsid w:val="001A2DB4"/>
    <w:rsid w:val="001B1AB0"/>
    <w:rsid w:val="001C7FAC"/>
    <w:rsid w:val="002236AF"/>
    <w:rsid w:val="002334E8"/>
    <w:rsid w:val="00236D7E"/>
    <w:rsid w:val="0024322C"/>
    <w:rsid w:val="0024790A"/>
    <w:rsid w:val="00252325"/>
    <w:rsid w:val="00260FD4"/>
    <w:rsid w:val="002809D8"/>
    <w:rsid w:val="0029381C"/>
    <w:rsid w:val="0029751F"/>
    <w:rsid w:val="002A1E0F"/>
    <w:rsid w:val="002D2072"/>
    <w:rsid w:val="002F02D5"/>
    <w:rsid w:val="003054A8"/>
    <w:rsid w:val="003160CE"/>
    <w:rsid w:val="003456A8"/>
    <w:rsid w:val="003735BF"/>
    <w:rsid w:val="003834D8"/>
    <w:rsid w:val="003A3A4A"/>
    <w:rsid w:val="003B500F"/>
    <w:rsid w:val="003B6A10"/>
    <w:rsid w:val="003C6D60"/>
    <w:rsid w:val="003D5804"/>
    <w:rsid w:val="003F78F9"/>
    <w:rsid w:val="00413EA2"/>
    <w:rsid w:val="004267D6"/>
    <w:rsid w:val="00457BAC"/>
    <w:rsid w:val="00476A18"/>
    <w:rsid w:val="004C4D9D"/>
    <w:rsid w:val="004C6E00"/>
    <w:rsid w:val="004E3A9A"/>
    <w:rsid w:val="00534C22"/>
    <w:rsid w:val="005363F1"/>
    <w:rsid w:val="00536727"/>
    <w:rsid w:val="005412DF"/>
    <w:rsid w:val="005C1F80"/>
    <w:rsid w:val="006313DB"/>
    <w:rsid w:val="006328F0"/>
    <w:rsid w:val="0068681F"/>
    <w:rsid w:val="006A4C9D"/>
    <w:rsid w:val="006B0F28"/>
    <w:rsid w:val="006B5F88"/>
    <w:rsid w:val="006B60EA"/>
    <w:rsid w:val="00704600"/>
    <w:rsid w:val="0075103D"/>
    <w:rsid w:val="00751FCD"/>
    <w:rsid w:val="00792B7C"/>
    <w:rsid w:val="007E6127"/>
    <w:rsid w:val="00814217"/>
    <w:rsid w:val="00842FDF"/>
    <w:rsid w:val="008863B0"/>
    <w:rsid w:val="008C6692"/>
    <w:rsid w:val="008F2CE6"/>
    <w:rsid w:val="00925476"/>
    <w:rsid w:val="0093447C"/>
    <w:rsid w:val="0094239B"/>
    <w:rsid w:val="0097559C"/>
    <w:rsid w:val="00976AF8"/>
    <w:rsid w:val="009838EB"/>
    <w:rsid w:val="009A59B9"/>
    <w:rsid w:val="009C4291"/>
    <w:rsid w:val="009F1C70"/>
    <w:rsid w:val="00A000F8"/>
    <w:rsid w:val="00A0756F"/>
    <w:rsid w:val="00A116A1"/>
    <w:rsid w:val="00A17614"/>
    <w:rsid w:val="00AA03DB"/>
    <w:rsid w:val="00AD0497"/>
    <w:rsid w:val="00AF26DD"/>
    <w:rsid w:val="00B00354"/>
    <w:rsid w:val="00B14D18"/>
    <w:rsid w:val="00B23ACD"/>
    <w:rsid w:val="00B23F34"/>
    <w:rsid w:val="00B3141E"/>
    <w:rsid w:val="00B424EE"/>
    <w:rsid w:val="00B432AE"/>
    <w:rsid w:val="00B50247"/>
    <w:rsid w:val="00B75F95"/>
    <w:rsid w:val="00B87B84"/>
    <w:rsid w:val="00BB15F8"/>
    <w:rsid w:val="00C16895"/>
    <w:rsid w:val="00C302AB"/>
    <w:rsid w:val="00C670E3"/>
    <w:rsid w:val="00C867FF"/>
    <w:rsid w:val="00CC6802"/>
    <w:rsid w:val="00D17EB7"/>
    <w:rsid w:val="00D62AC0"/>
    <w:rsid w:val="00D724AF"/>
    <w:rsid w:val="00D86712"/>
    <w:rsid w:val="00D86E56"/>
    <w:rsid w:val="00DA60DF"/>
    <w:rsid w:val="00DC09C4"/>
    <w:rsid w:val="00E15E93"/>
    <w:rsid w:val="00E24784"/>
    <w:rsid w:val="00E56D30"/>
    <w:rsid w:val="00EC0C42"/>
    <w:rsid w:val="00F15F5A"/>
    <w:rsid w:val="00F2012E"/>
    <w:rsid w:val="00F353BF"/>
    <w:rsid w:val="00F45A2E"/>
    <w:rsid w:val="00F65C48"/>
    <w:rsid w:val="00F72B26"/>
    <w:rsid w:val="00F73A8C"/>
    <w:rsid w:val="00F80C83"/>
    <w:rsid w:val="00FD541F"/>
    <w:rsid w:val="00FE0E1F"/>
    <w:rsid w:val="00FE4AA4"/>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0E3"/>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C16895"/>
    <w:pPr>
      <w:keepNext/>
      <w:keepLines/>
      <w:spacing w:before="200" w:after="0"/>
      <w:outlineLvl w:val="1"/>
    </w:pPr>
    <w:rPr>
      <w:rFonts w:asciiTheme="majorHAnsi" w:eastAsiaTheme="majorEastAsia" w:hAnsiTheme="majorHAnsi" w:cstheme="majorBidi"/>
      <w:b/>
      <w:bCs/>
      <w:color w:val="4F81BD" w:themeColor="accent1"/>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895"/>
    <w:rPr>
      <w:rFonts w:asciiTheme="majorHAnsi" w:eastAsiaTheme="majorEastAsia" w:hAnsiTheme="majorHAnsi" w:cstheme="majorBidi"/>
      <w:b/>
      <w:bCs/>
      <w:color w:val="4F81BD" w:themeColor="accent1"/>
      <w:sz w:val="26"/>
      <w:szCs w:val="42"/>
    </w:rPr>
  </w:style>
  <w:style w:type="paragraph" w:styleId="BalloonText">
    <w:name w:val="Balloon Text"/>
    <w:basedOn w:val="Normal"/>
    <w:link w:val="BalloonTextChar"/>
    <w:uiPriority w:val="99"/>
    <w:semiHidden/>
    <w:unhideWhenUsed/>
    <w:rsid w:val="003B6A10"/>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3B6A10"/>
    <w:rPr>
      <w:rFonts w:ascii="Tahoma" w:hAnsi="Tahoma" w:cs="Tahoma"/>
      <w:sz w:val="16"/>
      <w:szCs w:val="26"/>
    </w:rPr>
  </w:style>
  <w:style w:type="character" w:customStyle="1" w:styleId="apple-converted-space">
    <w:name w:val="apple-converted-space"/>
    <w:basedOn w:val="DefaultParagraphFont"/>
    <w:rsid w:val="003B6A10"/>
  </w:style>
  <w:style w:type="character" w:customStyle="1" w:styleId="Heading1Char">
    <w:name w:val="Heading 1 Char"/>
    <w:basedOn w:val="DefaultParagraphFont"/>
    <w:link w:val="Heading1"/>
    <w:uiPriority w:val="9"/>
    <w:rsid w:val="00C670E3"/>
    <w:rPr>
      <w:rFonts w:asciiTheme="majorHAnsi" w:eastAsiaTheme="majorEastAsia" w:hAnsiTheme="majorHAnsi" w:cstheme="majorBidi"/>
      <w:b/>
      <w:bCs/>
      <w:color w:val="365F91" w:themeColor="accent1" w:themeShade="BF"/>
      <w:sz w:val="28"/>
      <w:szCs w:val="45"/>
    </w:rPr>
  </w:style>
  <w:style w:type="paragraph" w:styleId="TOCHeading">
    <w:name w:val="TOC Heading"/>
    <w:basedOn w:val="Heading1"/>
    <w:next w:val="Normal"/>
    <w:uiPriority w:val="39"/>
    <w:semiHidden/>
    <w:unhideWhenUsed/>
    <w:qFormat/>
    <w:rsid w:val="00C670E3"/>
    <w:pPr>
      <w:outlineLvl w:val="9"/>
    </w:pPr>
    <w:rPr>
      <w:szCs w:val="28"/>
      <w:lang w:eastAsia="ja-JP" w:bidi="ar-SA"/>
    </w:rPr>
  </w:style>
  <w:style w:type="paragraph" w:styleId="TOC2">
    <w:name w:val="toc 2"/>
    <w:basedOn w:val="Normal"/>
    <w:next w:val="Normal"/>
    <w:autoRedefine/>
    <w:uiPriority w:val="39"/>
    <w:unhideWhenUsed/>
    <w:rsid w:val="00C670E3"/>
    <w:pPr>
      <w:spacing w:after="100"/>
      <w:ind w:left="220"/>
    </w:pPr>
  </w:style>
  <w:style w:type="character" w:styleId="Hyperlink">
    <w:name w:val="Hyperlink"/>
    <w:basedOn w:val="DefaultParagraphFont"/>
    <w:uiPriority w:val="99"/>
    <w:unhideWhenUsed/>
    <w:rsid w:val="00C670E3"/>
    <w:rPr>
      <w:color w:val="0000FF" w:themeColor="hyperlink"/>
      <w:u w:val="single"/>
    </w:rPr>
  </w:style>
  <w:style w:type="paragraph" w:styleId="TOC1">
    <w:name w:val="toc 1"/>
    <w:basedOn w:val="Normal"/>
    <w:next w:val="Normal"/>
    <w:autoRedefine/>
    <w:uiPriority w:val="39"/>
    <w:unhideWhenUsed/>
    <w:rsid w:val="003456A8"/>
    <w:pPr>
      <w:spacing w:after="100"/>
    </w:pPr>
  </w:style>
  <w:style w:type="paragraph" w:styleId="Title">
    <w:name w:val="Title"/>
    <w:basedOn w:val="Normal"/>
    <w:next w:val="Normal"/>
    <w:link w:val="TitleChar"/>
    <w:uiPriority w:val="10"/>
    <w:qFormat/>
    <w:rsid w:val="00F35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353BF"/>
    <w:rPr>
      <w:rFonts w:asciiTheme="majorHAnsi" w:eastAsiaTheme="majorEastAsia" w:hAnsiTheme="majorHAnsi" w:cstheme="majorBidi"/>
      <w:color w:val="17365D" w:themeColor="text2" w:themeShade="BF"/>
      <w:spacing w:val="5"/>
      <w:kern w:val="28"/>
      <w:sz w:val="52"/>
      <w:szCs w:val="85"/>
    </w:rPr>
  </w:style>
  <w:style w:type="paragraph" w:styleId="Caption">
    <w:name w:val="caption"/>
    <w:basedOn w:val="Normal"/>
    <w:next w:val="Normal"/>
    <w:uiPriority w:val="35"/>
    <w:unhideWhenUsed/>
    <w:qFormat/>
    <w:rsid w:val="00F80C83"/>
    <w:pPr>
      <w:spacing w:line="240" w:lineRule="auto"/>
    </w:pPr>
    <w:rPr>
      <w:b/>
      <w:bCs/>
      <w:color w:val="4F81BD" w:themeColor="accent1"/>
      <w:sz w:val="18"/>
      <w:szCs w:val="29"/>
    </w:rPr>
  </w:style>
  <w:style w:type="paragraph" w:styleId="TableofFigures">
    <w:name w:val="table of figures"/>
    <w:basedOn w:val="Normal"/>
    <w:next w:val="Normal"/>
    <w:uiPriority w:val="99"/>
    <w:unhideWhenUsed/>
    <w:rsid w:val="0068681F"/>
    <w:pPr>
      <w:spacing w:after="0"/>
    </w:pPr>
  </w:style>
  <w:style w:type="paragraph" w:styleId="Bibliography">
    <w:name w:val="Bibliography"/>
    <w:basedOn w:val="Normal"/>
    <w:next w:val="Normal"/>
    <w:uiPriority w:val="37"/>
    <w:unhideWhenUsed/>
    <w:rsid w:val="00632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0E3"/>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C16895"/>
    <w:pPr>
      <w:keepNext/>
      <w:keepLines/>
      <w:spacing w:before="200" w:after="0"/>
      <w:outlineLvl w:val="1"/>
    </w:pPr>
    <w:rPr>
      <w:rFonts w:asciiTheme="majorHAnsi" w:eastAsiaTheme="majorEastAsia" w:hAnsiTheme="majorHAnsi" w:cstheme="majorBidi"/>
      <w:b/>
      <w:bCs/>
      <w:color w:val="4F81BD" w:themeColor="accent1"/>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895"/>
    <w:rPr>
      <w:rFonts w:asciiTheme="majorHAnsi" w:eastAsiaTheme="majorEastAsia" w:hAnsiTheme="majorHAnsi" w:cstheme="majorBidi"/>
      <w:b/>
      <w:bCs/>
      <w:color w:val="4F81BD" w:themeColor="accent1"/>
      <w:sz w:val="26"/>
      <w:szCs w:val="42"/>
    </w:rPr>
  </w:style>
  <w:style w:type="paragraph" w:styleId="BalloonText">
    <w:name w:val="Balloon Text"/>
    <w:basedOn w:val="Normal"/>
    <w:link w:val="BalloonTextChar"/>
    <w:uiPriority w:val="99"/>
    <w:semiHidden/>
    <w:unhideWhenUsed/>
    <w:rsid w:val="003B6A10"/>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3B6A10"/>
    <w:rPr>
      <w:rFonts w:ascii="Tahoma" w:hAnsi="Tahoma" w:cs="Tahoma"/>
      <w:sz w:val="16"/>
      <w:szCs w:val="26"/>
    </w:rPr>
  </w:style>
  <w:style w:type="character" w:customStyle="1" w:styleId="apple-converted-space">
    <w:name w:val="apple-converted-space"/>
    <w:basedOn w:val="DefaultParagraphFont"/>
    <w:rsid w:val="003B6A10"/>
  </w:style>
  <w:style w:type="character" w:customStyle="1" w:styleId="Heading1Char">
    <w:name w:val="Heading 1 Char"/>
    <w:basedOn w:val="DefaultParagraphFont"/>
    <w:link w:val="Heading1"/>
    <w:uiPriority w:val="9"/>
    <w:rsid w:val="00C670E3"/>
    <w:rPr>
      <w:rFonts w:asciiTheme="majorHAnsi" w:eastAsiaTheme="majorEastAsia" w:hAnsiTheme="majorHAnsi" w:cstheme="majorBidi"/>
      <w:b/>
      <w:bCs/>
      <w:color w:val="365F91" w:themeColor="accent1" w:themeShade="BF"/>
      <w:sz w:val="28"/>
      <w:szCs w:val="45"/>
    </w:rPr>
  </w:style>
  <w:style w:type="paragraph" w:styleId="TOCHeading">
    <w:name w:val="TOC Heading"/>
    <w:basedOn w:val="Heading1"/>
    <w:next w:val="Normal"/>
    <w:uiPriority w:val="39"/>
    <w:semiHidden/>
    <w:unhideWhenUsed/>
    <w:qFormat/>
    <w:rsid w:val="00C670E3"/>
    <w:pPr>
      <w:outlineLvl w:val="9"/>
    </w:pPr>
    <w:rPr>
      <w:szCs w:val="28"/>
      <w:lang w:eastAsia="ja-JP" w:bidi="ar-SA"/>
    </w:rPr>
  </w:style>
  <w:style w:type="paragraph" w:styleId="TOC2">
    <w:name w:val="toc 2"/>
    <w:basedOn w:val="Normal"/>
    <w:next w:val="Normal"/>
    <w:autoRedefine/>
    <w:uiPriority w:val="39"/>
    <w:unhideWhenUsed/>
    <w:rsid w:val="00C670E3"/>
    <w:pPr>
      <w:spacing w:after="100"/>
      <w:ind w:left="220"/>
    </w:pPr>
  </w:style>
  <w:style w:type="character" w:styleId="Hyperlink">
    <w:name w:val="Hyperlink"/>
    <w:basedOn w:val="DefaultParagraphFont"/>
    <w:uiPriority w:val="99"/>
    <w:unhideWhenUsed/>
    <w:rsid w:val="00C670E3"/>
    <w:rPr>
      <w:color w:val="0000FF" w:themeColor="hyperlink"/>
      <w:u w:val="single"/>
    </w:rPr>
  </w:style>
  <w:style w:type="paragraph" w:styleId="TOC1">
    <w:name w:val="toc 1"/>
    <w:basedOn w:val="Normal"/>
    <w:next w:val="Normal"/>
    <w:autoRedefine/>
    <w:uiPriority w:val="39"/>
    <w:unhideWhenUsed/>
    <w:rsid w:val="003456A8"/>
    <w:pPr>
      <w:spacing w:after="100"/>
    </w:pPr>
  </w:style>
  <w:style w:type="paragraph" w:styleId="Title">
    <w:name w:val="Title"/>
    <w:basedOn w:val="Normal"/>
    <w:next w:val="Normal"/>
    <w:link w:val="TitleChar"/>
    <w:uiPriority w:val="10"/>
    <w:qFormat/>
    <w:rsid w:val="00F35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353BF"/>
    <w:rPr>
      <w:rFonts w:asciiTheme="majorHAnsi" w:eastAsiaTheme="majorEastAsia" w:hAnsiTheme="majorHAnsi" w:cstheme="majorBidi"/>
      <w:color w:val="17365D" w:themeColor="text2" w:themeShade="BF"/>
      <w:spacing w:val="5"/>
      <w:kern w:val="28"/>
      <w:sz w:val="52"/>
      <w:szCs w:val="85"/>
    </w:rPr>
  </w:style>
  <w:style w:type="paragraph" w:styleId="Caption">
    <w:name w:val="caption"/>
    <w:basedOn w:val="Normal"/>
    <w:next w:val="Normal"/>
    <w:uiPriority w:val="35"/>
    <w:unhideWhenUsed/>
    <w:qFormat/>
    <w:rsid w:val="00F80C83"/>
    <w:pPr>
      <w:spacing w:line="240" w:lineRule="auto"/>
    </w:pPr>
    <w:rPr>
      <w:b/>
      <w:bCs/>
      <w:color w:val="4F81BD" w:themeColor="accent1"/>
      <w:sz w:val="18"/>
      <w:szCs w:val="29"/>
    </w:rPr>
  </w:style>
  <w:style w:type="paragraph" w:styleId="TableofFigures">
    <w:name w:val="table of figures"/>
    <w:basedOn w:val="Normal"/>
    <w:next w:val="Normal"/>
    <w:uiPriority w:val="99"/>
    <w:unhideWhenUsed/>
    <w:rsid w:val="0068681F"/>
    <w:pPr>
      <w:spacing w:after="0"/>
    </w:pPr>
  </w:style>
  <w:style w:type="paragraph" w:styleId="Bibliography">
    <w:name w:val="Bibliography"/>
    <w:basedOn w:val="Normal"/>
    <w:next w:val="Normal"/>
    <w:uiPriority w:val="37"/>
    <w:unhideWhenUsed/>
    <w:rsid w:val="0063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47">
      <w:bodyDiv w:val="1"/>
      <w:marLeft w:val="0"/>
      <w:marRight w:val="0"/>
      <w:marTop w:val="0"/>
      <w:marBottom w:val="0"/>
      <w:divBdr>
        <w:top w:val="none" w:sz="0" w:space="0" w:color="auto"/>
        <w:left w:val="none" w:sz="0" w:space="0" w:color="auto"/>
        <w:bottom w:val="none" w:sz="0" w:space="0" w:color="auto"/>
        <w:right w:val="none" w:sz="0" w:space="0" w:color="auto"/>
      </w:divBdr>
    </w:div>
    <w:div w:id="632947737">
      <w:bodyDiv w:val="1"/>
      <w:marLeft w:val="0"/>
      <w:marRight w:val="0"/>
      <w:marTop w:val="0"/>
      <w:marBottom w:val="0"/>
      <w:divBdr>
        <w:top w:val="none" w:sz="0" w:space="0" w:color="auto"/>
        <w:left w:val="none" w:sz="0" w:space="0" w:color="auto"/>
        <w:bottom w:val="none" w:sz="0" w:space="0" w:color="auto"/>
        <w:right w:val="none" w:sz="0" w:space="0" w:color="auto"/>
      </w:divBdr>
      <w:divsChild>
        <w:div w:id="1534616330">
          <w:marLeft w:val="0"/>
          <w:marRight w:val="0"/>
          <w:marTop w:val="0"/>
          <w:marBottom w:val="0"/>
          <w:divBdr>
            <w:top w:val="none" w:sz="0" w:space="0" w:color="auto"/>
            <w:left w:val="none" w:sz="0" w:space="0" w:color="auto"/>
            <w:bottom w:val="none" w:sz="0" w:space="0" w:color="auto"/>
            <w:right w:val="none" w:sz="0" w:space="0" w:color="auto"/>
          </w:divBdr>
        </w:div>
        <w:div w:id="249389909">
          <w:marLeft w:val="0"/>
          <w:marRight w:val="0"/>
          <w:marTop w:val="0"/>
          <w:marBottom w:val="0"/>
          <w:divBdr>
            <w:top w:val="none" w:sz="0" w:space="0" w:color="auto"/>
            <w:left w:val="none" w:sz="0" w:space="0" w:color="auto"/>
            <w:bottom w:val="none" w:sz="0" w:space="0" w:color="auto"/>
            <w:right w:val="none" w:sz="0" w:space="0" w:color="auto"/>
          </w:divBdr>
        </w:div>
        <w:div w:id="1811240190">
          <w:marLeft w:val="0"/>
          <w:marRight w:val="0"/>
          <w:marTop w:val="0"/>
          <w:marBottom w:val="0"/>
          <w:divBdr>
            <w:top w:val="none" w:sz="0" w:space="0" w:color="auto"/>
            <w:left w:val="none" w:sz="0" w:space="0" w:color="auto"/>
            <w:bottom w:val="none" w:sz="0" w:space="0" w:color="auto"/>
            <w:right w:val="none" w:sz="0" w:space="0" w:color="auto"/>
          </w:divBdr>
        </w:div>
      </w:divsChild>
    </w:div>
    <w:div w:id="676611735">
      <w:bodyDiv w:val="1"/>
      <w:marLeft w:val="0"/>
      <w:marRight w:val="0"/>
      <w:marTop w:val="0"/>
      <w:marBottom w:val="0"/>
      <w:divBdr>
        <w:top w:val="none" w:sz="0" w:space="0" w:color="auto"/>
        <w:left w:val="none" w:sz="0" w:space="0" w:color="auto"/>
        <w:bottom w:val="none" w:sz="0" w:space="0" w:color="auto"/>
        <w:right w:val="none" w:sz="0" w:space="0" w:color="auto"/>
      </w:divBdr>
    </w:div>
    <w:div w:id="775829227">
      <w:bodyDiv w:val="1"/>
      <w:marLeft w:val="0"/>
      <w:marRight w:val="0"/>
      <w:marTop w:val="0"/>
      <w:marBottom w:val="0"/>
      <w:divBdr>
        <w:top w:val="none" w:sz="0" w:space="0" w:color="auto"/>
        <w:left w:val="none" w:sz="0" w:space="0" w:color="auto"/>
        <w:bottom w:val="none" w:sz="0" w:space="0" w:color="auto"/>
        <w:right w:val="none" w:sz="0" w:space="0" w:color="auto"/>
      </w:divBdr>
    </w:div>
    <w:div w:id="790829389">
      <w:bodyDiv w:val="1"/>
      <w:marLeft w:val="0"/>
      <w:marRight w:val="0"/>
      <w:marTop w:val="0"/>
      <w:marBottom w:val="0"/>
      <w:divBdr>
        <w:top w:val="none" w:sz="0" w:space="0" w:color="auto"/>
        <w:left w:val="none" w:sz="0" w:space="0" w:color="auto"/>
        <w:bottom w:val="none" w:sz="0" w:space="0" w:color="auto"/>
        <w:right w:val="none" w:sz="0" w:space="0" w:color="auto"/>
      </w:divBdr>
    </w:div>
    <w:div w:id="814880969">
      <w:bodyDiv w:val="1"/>
      <w:marLeft w:val="0"/>
      <w:marRight w:val="0"/>
      <w:marTop w:val="0"/>
      <w:marBottom w:val="0"/>
      <w:divBdr>
        <w:top w:val="none" w:sz="0" w:space="0" w:color="auto"/>
        <w:left w:val="none" w:sz="0" w:space="0" w:color="auto"/>
        <w:bottom w:val="none" w:sz="0" w:space="0" w:color="auto"/>
        <w:right w:val="none" w:sz="0" w:space="0" w:color="auto"/>
      </w:divBdr>
    </w:div>
    <w:div w:id="859899660">
      <w:bodyDiv w:val="1"/>
      <w:marLeft w:val="0"/>
      <w:marRight w:val="0"/>
      <w:marTop w:val="0"/>
      <w:marBottom w:val="0"/>
      <w:divBdr>
        <w:top w:val="none" w:sz="0" w:space="0" w:color="auto"/>
        <w:left w:val="none" w:sz="0" w:space="0" w:color="auto"/>
        <w:bottom w:val="none" w:sz="0" w:space="0" w:color="auto"/>
        <w:right w:val="none" w:sz="0" w:space="0" w:color="auto"/>
      </w:divBdr>
    </w:div>
    <w:div w:id="862085690">
      <w:bodyDiv w:val="1"/>
      <w:marLeft w:val="0"/>
      <w:marRight w:val="0"/>
      <w:marTop w:val="0"/>
      <w:marBottom w:val="0"/>
      <w:divBdr>
        <w:top w:val="none" w:sz="0" w:space="0" w:color="auto"/>
        <w:left w:val="none" w:sz="0" w:space="0" w:color="auto"/>
        <w:bottom w:val="none" w:sz="0" w:space="0" w:color="auto"/>
        <w:right w:val="none" w:sz="0" w:space="0" w:color="auto"/>
      </w:divBdr>
    </w:div>
    <w:div w:id="1324971721">
      <w:bodyDiv w:val="1"/>
      <w:marLeft w:val="0"/>
      <w:marRight w:val="0"/>
      <w:marTop w:val="0"/>
      <w:marBottom w:val="0"/>
      <w:divBdr>
        <w:top w:val="none" w:sz="0" w:space="0" w:color="auto"/>
        <w:left w:val="none" w:sz="0" w:space="0" w:color="auto"/>
        <w:bottom w:val="none" w:sz="0" w:space="0" w:color="auto"/>
        <w:right w:val="none" w:sz="0" w:space="0" w:color="auto"/>
      </w:divBdr>
    </w:div>
    <w:div w:id="1548832016">
      <w:bodyDiv w:val="1"/>
      <w:marLeft w:val="0"/>
      <w:marRight w:val="0"/>
      <w:marTop w:val="0"/>
      <w:marBottom w:val="0"/>
      <w:divBdr>
        <w:top w:val="none" w:sz="0" w:space="0" w:color="auto"/>
        <w:left w:val="none" w:sz="0" w:space="0" w:color="auto"/>
        <w:bottom w:val="none" w:sz="0" w:space="0" w:color="auto"/>
        <w:right w:val="none" w:sz="0" w:space="0" w:color="auto"/>
      </w:divBdr>
    </w:div>
    <w:div w:id="1610627384">
      <w:bodyDiv w:val="1"/>
      <w:marLeft w:val="0"/>
      <w:marRight w:val="0"/>
      <w:marTop w:val="0"/>
      <w:marBottom w:val="0"/>
      <w:divBdr>
        <w:top w:val="none" w:sz="0" w:space="0" w:color="auto"/>
        <w:left w:val="none" w:sz="0" w:space="0" w:color="auto"/>
        <w:bottom w:val="none" w:sz="0" w:space="0" w:color="auto"/>
        <w:right w:val="none" w:sz="0" w:space="0" w:color="auto"/>
      </w:divBdr>
    </w:div>
    <w:div w:id="1651521235">
      <w:bodyDiv w:val="1"/>
      <w:marLeft w:val="0"/>
      <w:marRight w:val="0"/>
      <w:marTop w:val="0"/>
      <w:marBottom w:val="0"/>
      <w:divBdr>
        <w:top w:val="none" w:sz="0" w:space="0" w:color="auto"/>
        <w:left w:val="none" w:sz="0" w:space="0" w:color="auto"/>
        <w:bottom w:val="none" w:sz="0" w:space="0" w:color="auto"/>
        <w:right w:val="none" w:sz="0" w:space="0" w:color="auto"/>
      </w:divBdr>
    </w:div>
    <w:div w:id="1715277465">
      <w:bodyDiv w:val="1"/>
      <w:marLeft w:val="0"/>
      <w:marRight w:val="0"/>
      <w:marTop w:val="0"/>
      <w:marBottom w:val="0"/>
      <w:divBdr>
        <w:top w:val="none" w:sz="0" w:space="0" w:color="auto"/>
        <w:left w:val="none" w:sz="0" w:space="0" w:color="auto"/>
        <w:bottom w:val="none" w:sz="0" w:space="0" w:color="auto"/>
        <w:right w:val="none" w:sz="0" w:space="0" w:color="auto"/>
      </w:divBdr>
    </w:div>
    <w:div w:id="1834449060">
      <w:bodyDiv w:val="1"/>
      <w:marLeft w:val="0"/>
      <w:marRight w:val="0"/>
      <w:marTop w:val="0"/>
      <w:marBottom w:val="0"/>
      <w:divBdr>
        <w:top w:val="none" w:sz="0" w:space="0" w:color="auto"/>
        <w:left w:val="none" w:sz="0" w:space="0" w:color="auto"/>
        <w:bottom w:val="none" w:sz="0" w:space="0" w:color="auto"/>
        <w:right w:val="none" w:sz="0" w:space="0" w:color="auto"/>
      </w:divBdr>
    </w:div>
    <w:div w:id="2037845246">
      <w:bodyDiv w:val="1"/>
      <w:marLeft w:val="0"/>
      <w:marRight w:val="0"/>
      <w:marTop w:val="0"/>
      <w:marBottom w:val="0"/>
      <w:divBdr>
        <w:top w:val="none" w:sz="0" w:space="0" w:color="auto"/>
        <w:left w:val="none" w:sz="0" w:space="0" w:color="auto"/>
        <w:bottom w:val="none" w:sz="0" w:space="0" w:color="auto"/>
        <w:right w:val="none" w:sz="0" w:space="0" w:color="auto"/>
      </w:divBdr>
    </w:div>
    <w:div w:id="20702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conkle\Desktop\Nutrition%20Analysis\2012%20sep%2017%20nut%20second%20anal.docx" TargetMode="External"/><Relationship Id="rId13" Type="http://schemas.openxmlformats.org/officeDocument/2006/relationships/hyperlink" Target="file:///C:\Users\jconkle\Desktop\Nutrition%20Analysis\2012%20sep%2017%20nut%20second%20anal.docx" TargetMode="External"/><Relationship Id="rId18" Type="http://schemas.openxmlformats.org/officeDocument/2006/relationships/hyperlink" Target="file:///C:\Users\jconkle\Desktop\Nutrition%20Analysis\2012%20sep%2017%20nut%20second%20anal.docx" TargetMode="External"/><Relationship Id="rId26" Type="http://schemas.openxmlformats.org/officeDocument/2006/relationships/image" Target="media/image2.emf"/><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chart" Target="charts/chart21.xml"/><Relationship Id="rId47" Type="http://schemas.openxmlformats.org/officeDocument/2006/relationships/fontTable" Target="fontTable.xml"/><Relationship Id="rId7" Type="http://schemas.openxmlformats.org/officeDocument/2006/relationships/hyperlink" Target="file:///C:\Users\jconkle\Desktop\Nutrition%20Analysis\2012%20sep%2017%20nut%20second%20anal.docx" TargetMode="External"/><Relationship Id="rId12" Type="http://schemas.openxmlformats.org/officeDocument/2006/relationships/hyperlink" Target="file:///C:\Users\jconkle\Desktop\Nutrition%20Analysis\2012%20sep%2017%20nut%20second%20anal.docx" TargetMode="External"/><Relationship Id="rId17" Type="http://schemas.openxmlformats.org/officeDocument/2006/relationships/hyperlink" Target="file:///C:\Users\jconkle\Desktop\Nutrition%20Analysis\2012%20sep%2017%20nut%20second%20anal.docx" TargetMode="External"/><Relationship Id="rId25" Type="http://schemas.openxmlformats.org/officeDocument/2006/relationships/image" Target="media/image1.emf"/><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2" Type="http://schemas.openxmlformats.org/officeDocument/2006/relationships/styles" Target="styles.xml"/><Relationship Id="rId16" Type="http://schemas.openxmlformats.org/officeDocument/2006/relationships/hyperlink" Target="file:///C:\Users\jconkle\Desktop\Nutrition%20Analysis\2012%20sep%2017%20nut%20second%20anal.docx" TargetMode="External"/><Relationship Id="rId20" Type="http://schemas.openxmlformats.org/officeDocument/2006/relationships/chart" Target="charts/chart2.xml"/><Relationship Id="rId29" Type="http://schemas.openxmlformats.org/officeDocument/2006/relationships/chart" Target="charts/chart9.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hyperlink" Target="mailto:jconkle@unicef.org" TargetMode="External"/><Relationship Id="rId11" Type="http://schemas.openxmlformats.org/officeDocument/2006/relationships/hyperlink" Target="file:///C:\Users\jconkle\Desktop\Nutrition%20Analysis\2012%20sep%2017%20nut%20second%20anal.docx" TargetMode="Externa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19.xml"/><Relationship Id="rId45"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hyperlink" Target="file:///C:\Users\jconkle\Desktop\Nutrition%20Analysis\2012%20sep%2017%20nut%20second%20anal.docx"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file:///C:\Users\jconkle\Desktop\Nutrition%20Analysis\2012%20sep%2017%20nut%20second%20anal.docx" TargetMode="External"/><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hyperlink" Target="file:///C:\Users\jconkle\Desktop\Nutrition%20Analysis\2012%20sep%2017%20nut%20second%20anal.docx" TargetMode="External"/><Relationship Id="rId14" Type="http://schemas.openxmlformats.org/officeDocument/2006/relationships/hyperlink" Target="file:///C:\Users\jconkle\Desktop\Nutrition%20Analysis\2012%20sep%2017%20nut%20second%20anal.docx"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BDAFIPR01\driveM\7.%20MNCH-N\3.%20Technical%20documents%20-%20knowledge%20management\3.%20Nutrition\DATA%20&amp;%20ANALYSIS%20-%20NUTRITION\2011%20NUTRITION%20HH%20SURVEY%20TREND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bdaapps01\driveM\General\%23%20MNCH-N\NUTRITION\M&amp;E%20-%20NUTRITION\HOUSEHOLD%20SURVEYS\NUTRITION%20HH%20SURVEY%20TREND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conkle\Desktop\Nutrition%20Analysis\2010%20CDHS%20Anthro_Anemia%20by%20Ag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conkle\Desktop\Nutrition%20Analysis\Output\NutAnalysis_version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jconkle\Desktop\Nutrition%20Analysis\Output\NutAnalysis_version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daapps01\driveM\General\%23%20MNCH-N\NUTRITION\M&amp;E%20-%20NUTRITION\NUTRITION%20HH%20SURVEY%20TREN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DAFIPR01\driveM\7.%20MNCH-N\3.%20Technical%20documents%20-%20knowledge%20management\3.%20Nutrition\DATA%20&amp;%20ANALYSIS%20-%20NUTRITION\2011%20NUTRITION%20HH%20SURVEY%20TREN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daapps01\driveM\General\%23%20MNCH-N\NUTRITION\M&amp;E%20-%20NUTRITION\NUTRITION%20HH%20SURVEY%20TREND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Nutrition%20Analysis\Output\NutAnalysis_version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[2011 NUTRITION HH SURVEY TRENDS.xlsx]CHILD ANTHRO FIGURE!PivotTable1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dLbl>
          <c:idx val="0"/>
          <c:spPr/>
          <c:txPr>
            <a:bodyPr/>
            <a:lstStyle/>
            <a:p>
              <a:pPr>
                <a:defRPr/>
              </a:pPr>
              <a:endParaRPr lang="en-US"/>
            </a:p>
          </c:txPr>
          <c:showLegendKey val="0"/>
          <c:showVal val="1"/>
          <c:showCatName val="0"/>
          <c:showSerName val="0"/>
          <c:showPercent val="0"/>
          <c:showBubbleSize val="0"/>
        </c:dLbl>
      </c:pivotFmt>
      <c:pivotFmt>
        <c:idx val="61"/>
        <c:marker>
          <c:symbol val="none"/>
        </c:marker>
      </c:pivotFmt>
      <c:pivotFmt>
        <c:idx val="62"/>
        <c:marker>
          <c:symbol val="none"/>
        </c:marker>
      </c:pivotFmt>
      <c:pivotFmt>
        <c:idx val="63"/>
        <c:marker>
          <c:symbol val="none"/>
        </c:marker>
        <c:dLbl>
          <c:idx val="0"/>
          <c:spPr/>
          <c:txPr>
            <a:bodyPr/>
            <a:lstStyle/>
            <a:p>
              <a:pPr>
                <a:defRPr/>
              </a:pPr>
              <a:endParaRPr lang="en-US"/>
            </a:p>
          </c:txPr>
          <c:showLegendKey val="0"/>
          <c:showVal val="1"/>
          <c:showCatName val="0"/>
          <c:showSerName val="0"/>
          <c:showPercent val="0"/>
          <c:showBubbleSize val="0"/>
        </c:dLbl>
      </c:pivotFmt>
      <c:pivotFmt>
        <c:idx val="64"/>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manualLayout>
          <c:layoutTarget val="inner"/>
          <c:xMode val="edge"/>
          <c:yMode val="edge"/>
          <c:x val="2.464985994397759E-2"/>
          <c:y val="4.1273446452996194E-2"/>
          <c:w val="0.95070028011204477"/>
          <c:h val="0.67482843517799707"/>
        </c:manualLayout>
      </c:layout>
      <c:barChart>
        <c:barDir val="col"/>
        <c:grouping val="clustered"/>
        <c:varyColors val="0"/>
        <c:ser>
          <c:idx val="0"/>
          <c:order val="0"/>
          <c:tx>
            <c:strRef>
              <c:f>'CHILD ANTHRO FIGURE'!$B$3</c:f>
              <c:strCache>
                <c:ptCount val="1"/>
                <c:pt idx="0">
                  <c:v>Total</c:v>
                </c:pt>
              </c:strCache>
            </c:strRef>
          </c:tx>
          <c:invertIfNegative val="0"/>
          <c:cat>
            <c:multiLvlStrRef>
              <c:f>'CHILD ANTHRO FIGURE'!$A$4:$A$21</c:f>
              <c:multiLvlStrCache>
                <c:ptCount val="12"/>
                <c:lvl>
                  <c:pt idx="0">
                    <c:v>CDHS 2000</c:v>
                  </c:pt>
                  <c:pt idx="1">
                    <c:v>CDHS 2005</c:v>
                  </c:pt>
                  <c:pt idx="2">
                    <c:v>CAS 2008</c:v>
                  </c:pt>
                  <c:pt idx="3">
                    <c:v>CDHS 2010</c:v>
                  </c:pt>
                  <c:pt idx="4">
                    <c:v>CDHS 2000</c:v>
                  </c:pt>
                  <c:pt idx="5">
                    <c:v>CDHS 2005</c:v>
                  </c:pt>
                  <c:pt idx="6">
                    <c:v>CAS 2008</c:v>
                  </c:pt>
                  <c:pt idx="7">
                    <c:v>CDHS 2010</c:v>
                  </c:pt>
                  <c:pt idx="8">
                    <c:v>CDHS 2000</c:v>
                  </c:pt>
                  <c:pt idx="9">
                    <c:v>CDHS 2005</c:v>
                  </c:pt>
                  <c:pt idx="10">
                    <c:v>CAS 2008</c:v>
                  </c:pt>
                  <c:pt idx="11">
                    <c:v>CDHS 2010</c:v>
                  </c:pt>
                </c:lvl>
                <c:lvl>
                  <c:pt idx="0">
                    <c:v>UNDERWEIGHT</c:v>
                  </c:pt>
                  <c:pt idx="4">
                    <c:v>STUNTED (short)</c:v>
                  </c:pt>
                  <c:pt idx="8">
                    <c:v>WASTED (thin)</c:v>
                  </c:pt>
                </c:lvl>
              </c:multiLvlStrCache>
            </c:multiLvlStrRef>
          </c:cat>
          <c:val>
            <c:numRef>
              <c:f>'CHILD ANTHRO FIGURE'!$B$4:$B$21</c:f>
              <c:numCache>
                <c:formatCode>General</c:formatCode>
                <c:ptCount val="12"/>
                <c:pt idx="0">
                  <c:v>38.4</c:v>
                </c:pt>
                <c:pt idx="1">
                  <c:v>28.2</c:v>
                </c:pt>
                <c:pt idx="2">
                  <c:v>28.8</c:v>
                </c:pt>
                <c:pt idx="3">
                  <c:v>28.3</c:v>
                </c:pt>
                <c:pt idx="4">
                  <c:v>49.7</c:v>
                </c:pt>
                <c:pt idx="5">
                  <c:v>43.2</c:v>
                </c:pt>
                <c:pt idx="6">
                  <c:v>39.5</c:v>
                </c:pt>
                <c:pt idx="7">
                  <c:v>39.9</c:v>
                </c:pt>
                <c:pt idx="8">
                  <c:v>16.8</c:v>
                </c:pt>
                <c:pt idx="9">
                  <c:v>8.4</c:v>
                </c:pt>
                <c:pt idx="10">
                  <c:v>8.9</c:v>
                </c:pt>
                <c:pt idx="11">
                  <c:v>10.9</c:v>
                </c:pt>
              </c:numCache>
            </c:numRef>
          </c:val>
        </c:ser>
        <c:dLbls>
          <c:showLegendKey val="0"/>
          <c:showVal val="1"/>
          <c:showCatName val="0"/>
          <c:showSerName val="0"/>
          <c:showPercent val="0"/>
          <c:showBubbleSize val="0"/>
        </c:dLbls>
        <c:gapWidth val="150"/>
        <c:overlap val="-25"/>
        <c:axId val="242514560"/>
        <c:axId val="265592832"/>
      </c:barChart>
      <c:catAx>
        <c:axId val="242514560"/>
        <c:scaling>
          <c:orientation val="minMax"/>
        </c:scaling>
        <c:delete val="0"/>
        <c:axPos val="b"/>
        <c:majorTickMark val="none"/>
        <c:minorTickMark val="none"/>
        <c:tickLblPos val="nextTo"/>
        <c:crossAx val="265592832"/>
        <c:crosses val="autoZero"/>
        <c:auto val="1"/>
        <c:lblAlgn val="ctr"/>
        <c:lblOffset val="100"/>
        <c:noMultiLvlLbl val="0"/>
      </c:catAx>
      <c:valAx>
        <c:axId val="265592832"/>
        <c:scaling>
          <c:orientation val="minMax"/>
        </c:scaling>
        <c:delete val="1"/>
        <c:axPos val="l"/>
        <c:numFmt formatCode="General" sourceLinked="1"/>
        <c:majorTickMark val="none"/>
        <c:minorTickMark val="none"/>
        <c:tickLblPos val="nextTo"/>
        <c:crossAx val="24251456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'3.2 Formula'!$A$23</c:f>
              <c:strCache>
                <c:ptCount val="1"/>
                <c:pt idx="0">
                  <c:v>TOTAL</c:v>
                </c:pt>
              </c:strCache>
            </c:strRef>
          </c:tx>
          <c:spPr>
            <a:solidFill>
              <a:schemeClr val="bg1">
                <a:lumMod val="75000"/>
              </a:schemeClr>
            </a:solidFill>
          </c:spPr>
          <c:invertIfNegative val="0"/>
          <c:cat>
            <c:multiLvlStrRef>
              <c:f>('3.2 Formula'!$B$21:$B$22,'3.2 Formula'!$E$21:$E$22,'3.2 Formula'!$H$21:$H$22)</c:f>
              <c:multiLvlStrCache>
                <c:ptCount val="3"/>
                <c:lvl>
                  <c:pt idx="0">
                    <c:v>0-5 mos</c:v>
                  </c:pt>
                  <c:pt idx="1">
                    <c:v>0-5 mos</c:v>
                  </c:pt>
                  <c:pt idx="2">
                    <c:v>0-5 mos</c:v>
                  </c:pt>
                </c:lvl>
                <c:lvl>
                  <c:pt idx="0">
                    <c:v>2000</c:v>
                  </c:pt>
                  <c:pt idx="1">
                    <c:v>2005</c:v>
                  </c:pt>
                  <c:pt idx="2">
                    <c:v>2010</c:v>
                  </c:pt>
                </c:lvl>
              </c:multiLvlStrCache>
            </c:multiLvlStrRef>
          </c:cat>
          <c:val>
            <c:numRef>
              <c:f>('3.2 Formula'!$B$23,'3.2 Formula'!$E$23,'3.2 Formula'!$H$23)</c:f>
              <c:numCache>
                <c:formatCode>0.0</c:formatCode>
                <c:ptCount val="3"/>
                <c:pt idx="0">
                  <c:v>3.4</c:v>
                </c:pt>
                <c:pt idx="1">
                  <c:v>7</c:v>
                </c:pt>
                <c:pt idx="2">
                  <c:v>6.8</c:v>
                </c:pt>
              </c:numCache>
            </c:numRef>
          </c:val>
        </c:ser>
        <c:dLbls>
          <c:showLegendKey val="0"/>
          <c:showVal val="0"/>
          <c:showCatName val="0"/>
          <c:showSerName val="0"/>
          <c:showPercent val="0"/>
          <c:showBubbleSize val="0"/>
        </c:dLbls>
        <c:gapWidth val="150"/>
        <c:axId val="246318592"/>
        <c:axId val="246320128"/>
      </c:barChart>
      <c:lineChart>
        <c:grouping val="standard"/>
        <c:varyColors val="0"/>
        <c:ser>
          <c:idx val="1"/>
          <c:order val="1"/>
          <c:tx>
            <c:strRef>
              <c:f>'3.2 Formula'!$A$24</c:f>
              <c:strCache>
                <c:ptCount val="1"/>
                <c:pt idx="0">
                  <c:v>urban</c:v>
                </c:pt>
              </c:strCache>
            </c:strRef>
          </c:tx>
          <c:spPr>
            <a:ln>
              <a:solidFill>
                <a:schemeClr val="accent3"/>
              </a:solidFill>
            </a:ln>
          </c:spPr>
          <c:marker>
            <c:symbol val="none"/>
          </c:marker>
          <c:cat>
            <c:multiLvlStrRef>
              <c:f>('3.2 Formula'!$B$21:$B$22,'3.2 Formula'!$E$21:$E$22,'3.2 Formula'!$H$21:$H$22)</c:f>
              <c:multiLvlStrCache>
                <c:ptCount val="3"/>
                <c:lvl>
                  <c:pt idx="0">
                    <c:v>0-5 mos</c:v>
                  </c:pt>
                  <c:pt idx="1">
                    <c:v>0-5 mos</c:v>
                  </c:pt>
                  <c:pt idx="2">
                    <c:v>0-5 mos</c:v>
                  </c:pt>
                </c:lvl>
                <c:lvl>
                  <c:pt idx="0">
                    <c:v>2000</c:v>
                  </c:pt>
                  <c:pt idx="1">
                    <c:v>2005</c:v>
                  </c:pt>
                  <c:pt idx="2">
                    <c:v>2010</c:v>
                  </c:pt>
                </c:lvl>
              </c:multiLvlStrCache>
            </c:multiLvlStrRef>
          </c:cat>
          <c:val>
            <c:numRef>
              <c:f>('3.2 Formula'!$B$24,'3.2 Formula'!$E$24,'3.2 Formula'!$H$24)</c:f>
              <c:numCache>
                <c:formatCode>0.0</c:formatCode>
                <c:ptCount val="3"/>
                <c:pt idx="0">
                  <c:v>11.8</c:v>
                </c:pt>
                <c:pt idx="1">
                  <c:v>19.600000000000001</c:v>
                </c:pt>
                <c:pt idx="2">
                  <c:v>20.8</c:v>
                </c:pt>
              </c:numCache>
            </c:numRef>
          </c:val>
          <c:smooth val="0"/>
        </c:ser>
        <c:ser>
          <c:idx val="2"/>
          <c:order val="2"/>
          <c:tx>
            <c:strRef>
              <c:f>'3.2 Formula'!$A$25</c:f>
              <c:strCache>
                <c:ptCount val="1"/>
                <c:pt idx="0">
                  <c:v>rural</c:v>
                </c:pt>
              </c:strCache>
            </c:strRef>
          </c:tx>
          <c:spPr>
            <a:ln>
              <a:prstDash val="dash"/>
            </a:ln>
          </c:spPr>
          <c:marker>
            <c:symbol val="none"/>
          </c:marker>
          <c:cat>
            <c:multiLvlStrRef>
              <c:f>('3.2 Formula'!$B$21:$B$22,'3.2 Formula'!$E$21:$E$22,'3.2 Formula'!$H$21:$H$22)</c:f>
              <c:multiLvlStrCache>
                <c:ptCount val="3"/>
                <c:lvl>
                  <c:pt idx="0">
                    <c:v>0-5 mos</c:v>
                  </c:pt>
                  <c:pt idx="1">
                    <c:v>0-5 mos</c:v>
                  </c:pt>
                  <c:pt idx="2">
                    <c:v>0-5 mos</c:v>
                  </c:pt>
                </c:lvl>
                <c:lvl>
                  <c:pt idx="0">
                    <c:v>2000</c:v>
                  </c:pt>
                  <c:pt idx="1">
                    <c:v>2005</c:v>
                  </c:pt>
                  <c:pt idx="2">
                    <c:v>2010</c:v>
                  </c:pt>
                </c:lvl>
              </c:multiLvlStrCache>
            </c:multiLvlStrRef>
          </c:cat>
          <c:val>
            <c:numRef>
              <c:f>('3.2 Formula'!$B$25,'3.2 Formula'!$E$25,'3.2 Formula'!$H$25)</c:f>
              <c:numCache>
                <c:formatCode>0.0</c:formatCode>
                <c:ptCount val="3"/>
                <c:pt idx="0">
                  <c:v>2.1</c:v>
                </c:pt>
                <c:pt idx="1">
                  <c:v>4.9000000000000004</c:v>
                </c:pt>
                <c:pt idx="2">
                  <c:v>4.0999999999999996</c:v>
                </c:pt>
              </c:numCache>
            </c:numRef>
          </c:val>
          <c:smooth val="0"/>
        </c:ser>
        <c:ser>
          <c:idx val="3"/>
          <c:order val="3"/>
          <c:tx>
            <c:strRef>
              <c:f>'3.2 Formula'!$A$26</c:f>
              <c:strCache>
                <c:ptCount val="1"/>
                <c:pt idx="0">
                  <c:v>Q5</c:v>
                </c:pt>
              </c:strCache>
            </c:strRef>
          </c:tx>
          <c:spPr>
            <a:ln>
              <a:solidFill>
                <a:schemeClr val="accent2"/>
              </a:solidFill>
            </a:ln>
          </c:spPr>
          <c:marker>
            <c:symbol val="none"/>
          </c:marker>
          <c:cat>
            <c:multiLvlStrRef>
              <c:f>('3.2 Formula'!$B$21:$B$22,'3.2 Formula'!$E$21:$E$22,'3.2 Formula'!$H$21:$H$22)</c:f>
              <c:multiLvlStrCache>
                <c:ptCount val="3"/>
                <c:lvl>
                  <c:pt idx="0">
                    <c:v>0-5 mos</c:v>
                  </c:pt>
                  <c:pt idx="1">
                    <c:v>0-5 mos</c:v>
                  </c:pt>
                  <c:pt idx="2">
                    <c:v>0-5 mos</c:v>
                  </c:pt>
                </c:lvl>
                <c:lvl>
                  <c:pt idx="0">
                    <c:v>2000</c:v>
                  </c:pt>
                  <c:pt idx="1">
                    <c:v>2005</c:v>
                  </c:pt>
                  <c:pt idx="2">
                    <c:v>2010</c:v>
                  </c:pt>
                </c:lvl>
              </c:multiLvlStrCache>
            </c:multiLvlStrRef>
          </c:cat>
          <c:val>
            <c:numRef>
              <c:f>('3.2 Formula'!$B$26,'3.2 Formula'!$E$26,'3.2 Formula'!$H$26)</c:f>
              <c:numCache>
                <c:formatCode>0.0</c:formatCode>
                <c:ptCount val="3"/>
                <c:pt idx="0">
                  <c:v>13.7</c:v>
                </c:pt>
                <c:pt idx="1">
                  <c:v>25.4</c:v>
                </c:pt>
                <c:pt idx="2">
                  <c:v>21.3</c:v>
                </c:pt>
              </c:numCache>
            </c:numRef>
          </c:val>
          <c:smooth val="0"/>
        </c:ser>
        <c:ser>
          <c:idx val="4"/>
          <c:order val="4"/>
          <c:tx>
            <c:strRef>
              <c:f>'3.2 Formula'!$A$27</c:f>
              <c:strCache>
                <c:ptCount val="1"/>
                <c:pt idx="0">
                  <c:v>Q1</c:v>
                </c:pt>
              </c:strCache>
            </c:strRef>
          </c:tx>
          <c:spPr>
            <a:ln>
              <a:solidFill>
                <a:schemeClr val="accent2"/>
              </a:solidFill>
              <a:prstDash val="sysDash"/>
            </a:ln>
          </c:spPr>
          <c:marker>
            <c:symbol val="none"/>
          </c:marker>
          <c:cat>
            <c:multiLvlStrRef>
              <c:f>('3.2 Formula'!$B$21:$B$22,'3.2 Formula'!$E$21:$E$22,'3.2 Formula'!$H$21:$H$22)</c:f>
              <c:multiLvlStrCache>
                <c:ptCount val="3"/>
                <c:lvl>
                  <c:pt idx="0">
                    <c:v>0-5 mos</c:v>
                  </c:pt>
                  <c:pt idx="1">
                    <c:v>0-5 mos</c:v>
                  </c:pt>
                  <c:pt idx="2">
                    <c:v>0-5 mos</c:v>
                  </c:pt>
                </c:lvl>
                <c:lvl>
                  <c:pt idx="0">
                    <c:v>2000</c:v>
                  </c:pt>
                  <c:pt idx="1">
                    <c:v>2005</c:v>
                  </c:pt>
                  <c:pt idx="2">
                    <c:v>2010</c:v>
                  </c:pt>
                </c:lvl>
              </c:multiLvlStrCache>
            </c:multiLvlStrRef>
          </c:cat>
          <c:val>
            <c:numRef>
              <c:f>('3.2 Formula'!$B$27,'3.2 Formula'!$E$27,'3.2 Formula'!$H$27)</c:f>
              <c:numCache>
                <c:formatCode>0.0</c:formatCode>
                <c:ptCount val="3"/>
                <c:pt idx="0">
                  <c:v>0.3</c:v>
                </c:pt>
                <c:pt idx="1">
                  <c:v>0</c:v>
                </c:pt>
                <c:pt idx="2">
                  <c:v>1.6</c:v>
                </c:pt>
              </c:numCache>
            </c:numRef>
          </c:val>
          <c:smooth val="0"/>
        </c:ser>
        <c:dLbls>
          <c:showLegendKey val="0"/>
          <c:showVal val="0"/>
          <c:showCatName val="0"/>
          <c:showSerName val="0"/>
          <c:showPercent val="0"/>
          <c:showBubbleSize val="0"/>
        </c:dLbls>
        <c:marker val="1"/>
        <c:smooth val="0"/>
        <c:axId val="246318592"/>
        <c:axId val="246320128"/>
      </c:lineChart>
      <c:catAx>
        <c:axId val="246318592"/>
        <c:scaling>
          <c:orientation val="minMax"/>
        </c:scaling>
        <c:delete val="0"/>
        <c:axPos val="b"/>
        <c:majorTickMark val="out"/>
        <c:minorTickMark val="none"/>
        <c:tickLblPos val="nextTo"/>
        <c:crossAx val="246320128"/>
        <c:crosses val="autoZero"/>
        <c:auto val="1"/>
        <c:lblAlgn val="ctr"/>
        <c:lblOffset val="100"/>
        <c:noMultiLvlLbl val="0"/>
      </c:catAx>
      <c:valAx>
        <c:axId val="246320128"/>
        <c:scaling>
          <c:orientation val="minMax"/>
          <c:max val="40"/>
        </c:scaling>
        <c:delete val="0"/>
        <c:axPos val="l"/>
        <c:numFmt formatCode="0.0" sourceLinked="1"/>
        <c:majorTickMark val="out"/>
        <c:minorTickMark val="none"/>
        <c:tickLblPos val="nextTo"/>
        <c:crossAx val="2463185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TRENDS.xlsx]BOTTLE USE!PivotTable1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'BOTTLE USE'!$B$3</c:f>
              <c:strCache>
                <c:ptCount val="1"/>
                <c:pt idx="0">
                  <c:v>Total</c:v>
                </c:pt>
              </c:strCache>
            </c:strRef>
          </c:tx>
          <c:invertIfNegative val="0"/>
          <c:cat>
            <c:multiLvlStrRef>
              <c:f>'BOTTLE USE'!$A$4:$A$11</c:f>
              <c:multiLvlStrCache>
                <c:ptCount val="4"/>
                <c:lvl>
                  <c:pt idx="0">
                    <c:v>CDHS 2005</c:v>
                  </c:pt>
                  <c:pt idx="1">
                    <c:v>CDHS 2010</c:v>
                  </c:pt>
                  <c:pt idx="2">
                    <c:v>CDHS 2005</c:v>
                  </c:pt>
                  <c:pt idx="3">
                    <c:v>CDHS 2010</c:v>
                  </c:pt>
                </c:lvl>
                <c:lvl>
                  <c:pt idx="0">
                    <c:v>BOTTLE USE 0-5 MONTHS</c:v>
                  </c:pt>
                  <c:pt idx="2">
                    <c:v>BOTTLE USE 6-9 MONTHS</c:v>
                  </c:pt>
                </c:lvl>
              </c:multiLvlStrCache>
            </c:multiLvlStrRef>
          </c:cat>
          <c:val>
            <c:numRef>
              <c:f>'BOTTLE USE'!$B$4:$B$11</c:f>
              <c:numCache>
                <c:formatCode>General</c:formatCode>
                <c:ptCount val="4"/>
                <c:pt idx="0">
                  <c:v>11</c:v>
                </c:pt>
                <c:pt idx="1">
                  <c:v>13.6</c:v>
                </c:pt>
                <c:pt idx="2">
                  <c:v>11.5</c:v>
                </c:pt>
                <c:pt idx="3">
                  <c:v>29.1</c:v>
                </c:pt>
              </c:numCache>
            </c:numRef>
          </c:val>
        </c:ser>
        <c:dLbls>
          <c:showLegendKey val="0"/>
          <c:showVal val="1"/>
          <c:showCatName val="0"/>
          <c:showSerName val="0"/>
          <c:showPercent val="0"/>
          <c:showBubbleSize val="0"/>
        </c:dLbls>
        <c:gapWidth val="150"/>
        <c:overlap val="-25"/>
        <c:axId val="262804608"/>
        <c:axId val="262806144"/>
      </c:barChart>
      <c:catAx>
        <c:axId val="262804608"/>
        <c:scaling>
          <c:orientation val="minMax"/>
        </c:scaling>
        <c:delete val="0"/>
        <c:axPos val="b"/>
        <c:majorTickMark val="none"/>
        <c:minorTickMark val="none"/>
        <c:tickLblPos val="nextTo"/>
        <c:crossAx val="262806144"/>
        <c:crosses val="autoZero"/>
        <c:auto val="1"/>
        <c:lblAlgn val="ctr"/>
        <c:lblOffset val="100"/>
        <c:noMultiLvlLbl val="0"/>
      </c:catAx>
      <c:valAx>
        <c:axId val="262806144"/>
        <c:scaling>
          <c:orientation val="minMax"/>
        </c:scaling>
        <c:delete val="1"/>
        <c:axPos val="l"/>
        <c:numFmt formatCode="General" sourceLinked="1"/>
        <c:majorTickMark val="out"/>
        <c:minorTickMark val="none"/>
        <c:tickLblPos val="nextTo"/>
        <c:crossAx val="26280460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'1b. Bottle use'!$A$5</c:f>
              <c:strCache>
                <c:ptCount val="1"/>
                <c:pt idx="0">
                  <c:v>TOTAL</c:v>
                </c:pt>
              </c:strCache>
            </c:strRef>
          </c:tx>
          <c:spPr>
            <a:solidFill>
              <a:schemeClr val="bg1">
                <a:lumMod val="75000"/>
              </a:schemeClr>
            </a:solidFill>
          </c:spPr>
          <c:invertIfNegative val="0"/>
          <c:cat>
            <c:numRef>
              <c:f>'1b. Bottle use'!$B$4:$D$4</c:f>
              <c:numCache>
                <c:formatCode>General</c:formatCode>
                <c:ptCount val="3"/>
                <c:pt idx="0">
                  <c:v>2000</c:v>
                </c:pt>
                <c:pt idx="1">
                  <c:v>2005</c:v>
                </c:pt>
                <c:pt idx="2">
                  <c:v>2010</c:v>
                </c:pt>
              </c:numCache>
            </c:numRef>
          </c:cat>
          <c:val>
            <c:numRef>
              <c:f>'1b. Bottle use'!$B$5:$D$5</c:f>
              <c:numCache>
                <c:formatCode>0.0</c:formatCode>
                <c:ptCount val="3"/>
                <c:pt idx="0">
                  <c:v>16.600000000000001</c:v>
                </c:pt>
                <c:pt idx="1">
                  <c:v>11.8</c:v>
                </c:pt>
                <c:pt idx="2">
                  <c:v>23.2</c:v>
                </c:pt>
              </c:numCache>
            </c:numRef>
          </c:val>
        </c:ser>
        <c:dLbls>
          <c:showLegendKey val="0"/>
          <c:showVal val="0"/>
          <c:showCatName val="0"/>
          <c:showSerName val="0"/>
          <c:showPercent val="0"/>
          <c:showBubbleSize val="0"/>
        </c:dLbls>
        <c:gapWidth val="150"/>
        <c:axId val="262829952"/>
        <c:axId val="262831488"/>
      </c:barChart>
      <c:lineChart>
        <c:grouping val="standard"/>
        <c:varyColors val="0"/>
        <c:ser>
          <c:idx val="1"/>
          <c:order val="1"/>
          <c:tx>
            <c:strRef>
              <c:f>'1b. Bottle use'!$A$6</c:f>
              <c:strCache>
                <c:ptCount val="1"/>
                <c:pt idx="0">
                  <c:v>urban</c:v>
                </c:pt>
              </c:strCache>
            </c:strRef>
          </c:tx>
          <c:spPr>
            <a:ln>
              <a:solidFill>
                <a:schemeClr val="accent3"/>
              </a:solidFill>
            </a:ln>
          </c:spPr>
          <c:marker>
            <c:symbol val="none"/>
          </c:marker>
          <c:cat>
            <c:numRef>
              <c:f>'1b. Bottle use'!$B$4:$D$4</c:f>
              <c:numCache>
                <c:formatCode>General</c:formatCode>
                <c:ptCount val="3"/>
                <c:pt idx="0">
                  <c:v>2000</c:v>
                </c:pt>
                <c:pt idx="1">
                  <c:v>2005</c:v>
                </c:pt>
                <c:pt idx="2">
                  <c:v>2010</c:v>
                </c:pt>
              </c:numCache>
            </c:numRef>
          </c:cat>
          <c:val>
            <c:numRef>
              <c:f>'1b. Bottle use'!$B$6:$D$6</c:f>
              <c:numCache>
                <c:formatCode>0.0</c:formatCode>
                <c:ptCount val="3"/>
                <c:pt idx="0">
                  <c:v>31.6</c:v>
                </c:pt>
                <c:pt idx="1">
                  <c:v>30.1</c:v>
                </c:pt>
                <c:pt idx="2">
                  <c:v>45.3</c:v>
                </c:pt>
              </c:numCache>
            </c:numRef>
          </c:val>
          <c:smooth val="0"/>
        </c:ser>
        <c:ser>
          <c:idx val="2"/>
          <c:order val="2"/>
          <c:tx>
            <c:strRef>
              <c:f>'1b. Bottle use'!$A$7</c:f>
              <c:strCache>
                <c:ptCount val="1"/>
                <c:pt idx="0">
                  <c:v>rural</c:v>
                </c:pt>
              </c:strCache>
            </c:strRef>
          </c:tx>
          <c:spPr>
            <a:ln>
              <a:prstDash val="sysDash"/>
            </a:ln>
          </c:spPr>
          <c:marker>
            <c:symbol val="none"/>
          </c:marker>
          <c:cat>
            <c:numRef>
              <c:f>'1b. Bottle use'!$B$4:$D$4</c:f>
              <c:numCache>
                <c:formatCode>General</c:formatCode>
                <c:ptCount val="3"/>
                <c:pt idx="0">
                  <c:v>2000</c:v>
                </c:pt>
                <c:pt idx="1">
                  <c:v>2005</c:v>
                </c:pt>
                <c:pt idx="2">
                  <c:v>2010</c:v>
                </c:pt>
              </c:numCache>
            </c:numRef>
          </c:cat>
          <c:val>
            <c:numRef>
              <c:f>'1b. Bottle use'!$B$7:$D$7</c:f>
              <c:numCache>
                <c:formatCode>0.0</c:formatCode>
                <c:ptCount val="3"/>
                <c:pt idx="0">
                  <c:v>14.4</c:v>
                </c:pt>
                <c:pt idx="1">
                  <c:v>8.6999999999999993</c:v>
                </c:pt>
                <c:pt idx="2">
                  <c:v>18.899999999999999</c:v>
                </c:pt>
              </c:numCache>
            </c:numRef>
          </c:val>
          <c:smooth val="0"/>
        </c:ser>
        <c:ser>
          <c:idx val="3"/>
          <c:order val="3"/>
          <c:tx>
            <c:strRef>
              <c:f>'1b. Bottle use'!$A$8</c:f>
              <c:strCache>
                <c:ptCount val="1"/>
                <c:pt idx="0">
                  <c:v>Q5</c:v>
                </c:pt>
              </c:strCache>
            </c:strRef>
          </c:tx>
          <c:spPr>
            <a:ln>
              <a:solidFill>
                <a:schemeClr val="accent2"/>
              </a:solidFill>
            </a:ln>
          </c:spPr>
          <c:marker>
            <c:symbol val="none"/>
          </c:marker>
          <c:cat>
            <c:numRef>
              <c:f>'1b. Bottle use'!$B$4:$D$4</c:f>
              <c:numCache>
                <c:formatCode>General</c:formatCode>
                <c:ptCount val="3"/>
                <c:pt idx="0">
                  <c:v>2000</c:v>
                </c:pt>
                <c:pt idx="1">
                  <c:v>2005</c:v>
                </c:pt>
                <c:pt idx="2">
                  <c:v>2010</c:v>
                </c:pt>
              </c:numCache>
            </c:numRef>
          </c:cat>
          <c:val>
            <c:numRef>
              <c:f>'1b. Bottle use'!$B$8:$D$8</c:f>
              <c:numCache>
                <c:formatCode>0.0</c:formatCode>
                <c:ptCount val="3"/>
                <c:pt idx="0">
                  <c:v>36.4</c:v>
                </c:pt>
                <c:pt idx="1">
                  <c:v>35.4</c:v>
                </c:pt>
                <c:pt idx="2">
                  <c:v>48.5</c:v>
                </c:pt>
              </c:numCache>
            </c:numRef>
          </c:val>
          <c:smooth val="0"/>
        </c:ser>
        <c:ser>
          <c:idx val="4"/>
          <c:order val="4"/>
          <c:tx>
            <c:strRef>
              <c:f>'1b. Bottle use'!$A$9</c:f>
              <c:strCache>
                <c:ptCount val="1"/>
                <c:pt idx="0">
                  <c:v>Q1</c:v>
                </c:pt>
              </c:strCache>
            </c:strRef>
          </c:tx>
          <c:spPr>
            <a:ln>
              <a:solidFill>
                <a:schemeClr val="accent2"/>
              </a:solidFill>
              <a:prstDash val="sysDash"/>
            </a:ln>
          </c:spPr>
          <c:marker>
            <c:symbol val="none"/>
          </c:marker>
          <c:cat>
            <c:numRef>
              <c:f>'1b. Bottle use'!$B$4:$D$4</c:f>
              <c:numCache>
                <c:formatCode>General</c:formatCode>
                <c:ptCount val="3"/>
                <c:pt idx="0">
                  <c:v>2000</c:v>
                </c:pt>
                <c:pt idx="1">
                  <c:v>2005</c:v>
                </c:pt>
                <c:pt idx="2">
                  <c:v>2010</c:v>
                </c:pt>
              </c:numCache>
            </c:numRef>
          </c:cat>
          <c:val>
            <c:numRef>
              <c:f>'1b. Bottle use'!$B$9:$D$9</c:f>
              <c:numCache>
                <c:formatCode>0.0</c:formatCode>
                <c:ptCount val="3"/>
                <c:pt idx="0">
                  <c:v>10.1</c:v>
                </c:pt>
                <c:pt idx="1">
                  <c:v>3.7</c:v>
                </c:pt>
                <c:pt idx="2">
                  <c:v>13.7</c:v>
                </c:pt>
              </c:numCache>
            </c:numRef>
          </c:val>
          <c:smooth val="0"/>
        </c:ser>
        <c:dLbls>
          <c:showLegendKey val="0"/>
          <c:showVal val="0"/>
          <c:showCatName val="0"/>
          <c:showSerName val="0"/>
          <c:showPercent val="0"/>
          <c:showBubbleSize val="0"/>
        </c:dLbls>
        <c:marker val="1"/>
        <c:smooth val="0"/>
        <c:axId val="262829952"/>
        <c:axId val="262831488"/>
      </c:lineChart>
      <c:catAx>
        <c:axId val="262829952"/>
        <c:scaling>
          <c:orientation val="minMax"/>
        </c:scaling>
        <c:delete val="0"/>
        <c:axPos val="b"/>
        <c:numFmt formatCode="General" sourceLinked="1"/>
        <c:majorTickMark val="out"/>
        <c:minorTickMark val="none"/>
        <c:tickLblPos val="nextTo"/>
        <c:crossAx val="262831488"/>
        <c:crosses val="autoZero"/>
        <c:auto val="1"/>
        <c:lblAlgn val="ctr"/>
        <c:lblOffset val="100"/>
        <c:noMultiLvlLbl val="0"/>
      </c:catAx>
      <c:valAx>
        <c:axId val="262831488"/>
        <c:scaling>
          <c:orientation val="minMax"/>
        </c:scaling>
        <c:delete val="0"/>
        <c:axPos val="l"/>
        <c:numFmt formatCode="0.0" sourceLinked="1"/>
        <c:majorTickMark val="out"/>
        <c:minorTickMark val="none"/>
        <c:tickLblPos val="nextTo"/>
        <c:crossAx val="2628299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'1b. Bottle use'!$A$5</c:f>
              <c:strCache>
                <c:ptCount val="1"/>
                <c:pt idx="0">
                  <c:v>TOTAL</c:v>
                </c:pt>
              </c:strCache>
            </c:strRef>
          </c:tx>
          <c:spPr>
            <a:solidFill>
              <a:schemeClr val="bg1">
                <a:lumMod val="75000"/>
              </a:schemeClr>
            </a:solidFill>
          </c:spPr>
          <c:invertIfNegative val="0"/>
          <c:cat>
            <c:numRef>
              <c:f>'1b. Bottle use'!$B$4:$D$4</c:f>
              <c:numCache>
                <c:formatCode>General</c:formatCode>
                <c:ptCount val="3"/>
                <c:pt idx="0">
                  <c:v>2000</c:v>
                </c:pt>
                <c:pt idx="1">
                  <c:v>2005</c:v>
                </c:pt>
                <c:pt idx="2">
                  <c:v>2010</c:v>
                </c:pt>
              </c:numCache>
            </c:numRef>
          </c:cat>
          <c:val>
            <c:numRef>
              <c:f>'1b. Bottle use'!$B$5:$D$5</c:f>
              <c:numCache>
                <c:formatCode>0.0</c:formatCode>
                <c:ptCount val="3"/>
                <c:pt idx="0">
                  <c:v>16.600000000000001</c:v>
                </c:pt>
                <c:pt idx="1">
                  <c:v>11.8</c:v>
                </c:pt>
                <c:pt idx="2">
                  <c:v>23.2</c:v>
                </c:pt>
              </c:numCache>
            </c:numRef>
          </c:val>
        </c:ser>
        <c:dLbls>
          <c:showLegendKey val="0"/>
          <c:showVal val="0"/>
          <c:showCatName val="0"/>
          <c:showSerName val="0"/>
          <c:showPercent val="0"/>
          <c:showBubbleSize val="0"/>
        </c:dLbls>
        <c:gapWidth val="150"/>
        <c:axId val="265034368"/>
        <c:axId val="265044352"/>
      </c:barChart>
      <c:lineChart>
        <c:grouping val="standard"/>
        <c:varyColors val="0"/>
        <c:ser>
          <c:idx val="1"/>
          <c:order val="1"/>
          <c:tx>
            <c:strRef>
              <c:f>'1b. Bottle use'!$A$11</c:f>
              <c:strCache>
                <c:ptCount val="1"/>
                <c:pt idx="0">
                  <c:v>UrbanQ1</c:v>
                </c:pt>
              </c:strCache>
            </c:strRef>
          </c:tx>
          <c:spPr>
            <a:ln>
              <a:solidFill>
                <a:schemeClr val="accent3"/>
              </a:solidFill>
              <a:prstDash val="sysDash"/>
            </a:ln>
          </c:spPr>
          <c:marker>
            <c:symbol val="none"/>
          </c:marker>
          <c:cat>
            <c:numRef>
              <c:f>'1b. Bottle use'!$B$4:$D$4</c:f>
              <c:numCache>
                <c:formatCode>General</c:formatCode>
                <c:ptCount val="3"/>
                <c:pt idx="0">
                  <c:v>2000</c:v>
                </c:pt>
                <c:pt idx="1">
                  <c:v>2005</c:v>
                </c:pt>
                <c:pt idx="2">
                  <c:v>2010</c:v>
                </c:pt>
              </c:numCache>
            </c:numRef>
          </c:cat>
          <c:val>
            <c:numRef>
              <c:f>'1b. Bottle use'!$B$11:$D$11</c:f>
              <c:numCache>
                <c:formatCode>0.0</c:formatCode>
                <c:ptCount val="3"/>
                <c:pt idx="0">
                  <c:v>12.4</c:v>
                </c:pt>
                <c:pt idx="1">
                  <c:v>5.8</c:v>
                </c:pt>
                <c:pt idx="2">
                  <c:v>21.7</c:v>
                </c:pt>
              </c:numCache>
            </c:numRef>
          </c:val>
          <c:smooth val="0"/>
        </c:ser>
        <c:ser>
          <c:idx val="2"/>
          <c:order val="2"/>
          <c:tx>
            <c:strRef>
              <c:f>'1b. Bottle use'!$A$12</c:f>
              <c:strCache>
                <c:ptCount val="1"/>
                <c:pt idx="0">
                  <c:v>UrbanQ5</c:v>
                </c:pt>
              </c:strCache>
            </c:strRef>
          </c:tx>
          <c:spPr>
            <a:ln>
              <a:solidFill>
                <a:schemeClr val="accent3"/>
              </a:solidFill>
            </a:ln>
          </c:spPr>
          <c:marker>
            <c:symbol val="none"/>
          </c:marker>
          <c:cat>
            <c:numRef>
              <c:f>'1b. Bottle use'!$B$4:$D$4</c:f>
              <c:numCache>
                <c:formatCode>General</c:formatCode>
                <c:ptCount val="3"/>
                <c:pt idx="0">
                  <c:v>2000</c:v>
                </c:pt>
                <c:pt idx="1">
                  <c:v>2005</c:v>
                </c:pt>
                <c:pt idx="2">
                  <c:v>2010</c:v>
                </c:pt>
              </c:numCache>
            </c:numRef>
          </c:cat>
          <c:val>
            <c:numRef>
              <c:f>'1b. Bottle use'!$B$12:$D$12</c:f>
              <c:numCache>
                <c:formatCode>0.0</c:formatCode>
                <c:ptCount val="3"/>
                <c:pt idx="0">
                  <c:v>44.3</c:v>
                </c:pt>
                <c:pt idx="1">
                  <c:v>45.4</c:v>
                </c:pt>
                <c:pt idx="2">
                  <c:v>54.1</c:v>
                </c:pt>
              </c:numCache>
            </c:numRef>
          </c:val>
          <c:smooth val="0"/>
        </c:ser>
        <c:ser>
          <c:idx val="3"/>
          <c:order val="3"/>
          <c:tx>
            <c:strRef>
              <c:f>'1b. Bottle use'!$A$13</c:f>
              <c:strCache>
                <c:ptCount val="1"/>
                <c:pt idx="0">
                  <c:v>RuralQ1</c:v>
                </c:pt>
              </c:strCache>
            </c:strRef>
          </c:tx>
          <c:spPr>
            <a:ln>
              <a:solidFill>
                <a:schemeClr val="accent2"/>
              </a:solidFill>
              <a:prstDash val="sysDash"/>
            </a:ln>
          </c:spPr>
          <c:marker>
            <c:symbol val="none"/>
          </c:marker>
          <c:cat>
            <c:numRef>
              <c:f>'1b. Bottle use'!$B$4:$D$4</c:f>
              <c:numCache>
                <c:formatCode>General</c:formatCode>
                <c:ptCount val="3"/>
                <c:pt idx="0">
                  <c:v>2000</c:v>
                </c:pt>
                <c:pt idx="1">
                  <c:v>2005</c:v>
                </c:pt>
                <c:pt idx="2">
                  <c:v>2010</c:v>
                </c:pt>
              </c:numCache>
            </c:numRef>
          </c:cat>
          <c:val>
            <c:numRef>
              <c:f>'1b. Bottle use'!$B$13:$D$13</c:f>
              <c:numCache>
                <c:formatCode>0.0</c:formatCode>
                <c:ptCount val="3"/>
                <c:pt idx="0">
                  <c:v>9.9</c:v>
                </c:pt>
                <c:pt idx="1">
                  <c:v>3.6</c:v>
                </c:pt>
                <c:pt idx="2">
                  <c:v>13.6</c:v>
                </c:pt>
              </c:numCache>
            </c:numRef>
          </c:val>
          <c:smooth val="0"/>
        </c:ser>
        <c:ser>
          <c:idx val="4"/>
          <c:order val="4"/>
          <c:tx>
            <c:strRef>
              <c:f>'1b. Bottle use'!$A$14</c:f>
              <c:strCache>
                <c:ptCount val="1"/>
                <c:pt idx="0">
                  <c:v>RuralQ5</c:v>
                </c:pt>
              </c:strCache>
            </c:strRef>
          </c:tx>
          <c:spPr>
            <a:ln>
              <a:solidFill>
                <a:schemeClr val="accent2"/>
              </a:solidFill>
            </a:ln>
          </c:spPr>
          <c:marker>
            <c:symbol val="none"/>
          </c:marker>
          <c:cat>
            <c:numRef>
              <c:f>'1b. Bottle use'!$B$4:$D$4</c:f>
              <c:numCache>
                <c:formatCode>General</c:formatCode>
                <c:ptCount val="3"/>
                <c:pt idx="0">
                  <c:v>2000</c:v>
                </c:pt>
                <c:pt idx="1">
                  <c:v>2005</c:v>
                </c:pt>
                <c:pt idx="2">
                  <c:v>2010</c:v>
                </c:pt>
              </c:numCache>
            </c:numRef>
          </c:cat>
          <c:val>
            <c:numRef>
              <c:f>'1b. Bottle use'!$B$14:$D$14</c:f>
              <c:numCache>
                <c:formatCode>0.0</c:formatCode>
                <c:ptCount val="3"/>
                <c:pt idx="0">
                  <c:v>29.9</c:v>
                </c:pt>
                <c:pt idx="1">
                  <c:v>26.2</c:v>
                </c:pt>
                <c:pt idx="2">
                  <c:v>37.9</c:v>
                </c:pt>
              </c:numCache>
            </c:numRef>
          </c:val>
          <c:smooth val="0"/>
        </c:ser>
        <c:dLbls>
          <c:showLegendKey val="0"/>
          <c:showVal val="0"/>
          <c:showCatName val="0"/>
          <c:showSerName val="0"/>
          <c:showPercent val="0"/>
          <c:showBubbleSize val="0"/>
        </c:dLbls>
        <c:marker val="1"/>
        <c:smooth val="0"/>
        <c:axId val="265034368"/>
        <c:axId val="265044352"/>
      </c:lineChart>
      <c:catAx>
        <c:axId val="265034368"/>
        <c:scaling>
          <c:orientation val="minMax"/>
        </c:scaling>
        <c:delete val="0"/>
        <c:axPos val="b"/>
        <c:numFmt formatCode="General" sourceLinked="1"/>
        <c:majorTickMark val="out"/>
        <c:minorTickMark val="none"/>
        <c:tickLblPos val="nextTo"/>
        <c:crossAx val="265044352"/>
        <c:crosses val="autoZero"/>
        <c:auto val="1"/>
        <c:lblAlgn val="ctr"/>
        <c:lblOffset val="100"/>
        <c:noMultiLvlLbl val="0"/>
      </c:catAx>
      <c:valAx>
        <c:axId val="265044352"/>
        <c:scaling>
          <c:orientation val="minMax"/>
        </c:scaling>
        <c:delete val="0"/>
        <c:axPos val="l"/>
        <c:numFmt formatCode="0.0" sourceLinked="1"/>
        <c:majorTickMark val="out"/>
        <c:minorTickMark val="none"/>
        <c:tickLblPos val="nextTo"/>
        <c:crossAx val="26503436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Anthro!$E$2</c:f>
              <c:strCache>
                <c:ptCount val="1"/>
                <c:pt idx="0">
                  <c:v>n</c:v>
                </c:pt>
              </c:strCache>
            </c:strRef>
          </c:tx>
          <c:spPr>
            <a:solidFill>
              <a:schemeClr val="accent2">
                <a:lumMod val="40000"/>
                <a:lumOff val="60000"/>
              </a:schemeClr>
            </a:solidFill>
          </c:spPr>
          <c:invertIfNegative val="0"/>
          <c:cat>
            <c:strRef>
              <c:f>Anthro!$B$3:$B$32</c:f>
              <c:strCache>
                <c:ptCount val="30"/>
                <c:pt idx="0">
                  <c:v>0-1</c:v>
                </c:pt>
                <c:pt idx="1">
                  <c:v>2-3</c:v>
                </c:pt>
                <c:pt idx="2">
                  <c:v>4-5</c:v>
                </c:pt>
                <c:pt idx="3">
                  <c:v>6-7</c:v>
                </c:pt>
                <c:pt idx="4">
                  <c:v>8-9</c:v>
                </c:pt>
                <c:pt idx="5">
                  <c:v>10-11</c:v>
                </c:pt>
                <c:pt idx="6">
                  <c:v>12-13</c:v>
                </c:pt>
                <c:pt idx="7">
                  <c:v>14-15</c:v>
                </c:pt>
                <c:pt idx="8">
                  <c:v>16-17</c:v>
                </c:pt>
                <c:pt idx="9">
                  <c:v>18-19</c:v>
                </c:pt>
                <c:pt idx="10">
                  <c:v>20-21</c:v>
                </c:pt>
                <c:pt idx="11">
                  <c:v>22-23</c:v>
                </c:pt>
                <c:pt idx="12">
                  <c:v>24-25</c:v>
                </c:pt>
                <c:pt idx="13">
                  <c:v>26-27</c:v>
                </c:pt>
                <c:pt idx="14">
                  <c:v>28-29</c:v>
                </c:pt>
                <c:pt idx="15">
                  <c:v>30-31</c:v>
                </c:pt>
                <c:pt idx="16">
                  <c:v>32-33</c:v>
                </c:pt>
                <c:pt idx="17">
                  <c:v>34-35</c:v>
                </c:pt>
                <c:pt idx="18">
                  <c:v>36-37</c:v>
                </c:pt>
                <c:pt idx="19">
                  <c:v>38-39</c:v>
                </c:pt>
                <c:pt idx="20">
                  <c:v>40-41</c:v>
                </c:pt>
                <c:pt idx="21">
                  <c:v>42-43</c:v>
                </c:pt>
                <c:pt idx="22">
                  <c:v>44-45</c:v>
                </c:pt>
                <c:pt idx="23">
                  <c:v>46-47</c:v>
                </c:pt>
                <c:pt idx="24">
                  <c:v>48-49</c:v>
                </c:pt>
                <c:pt idx="25">
                  <c:v>50-51</c:v>
                </c:pt>
                <c:pt idx="26">
                  <c:v>52-53</c:v>
                </c:pt>
                <c:pt idx="27">
                  <c:v>54-55</c:v>
                </c:pt>
                <c:pt idx="28">
                  <c:v>56-57</c:v>
                </c:pt>
                <c:pt idx="29">
                  <c:v>58-59</c:v>
                </c:pt>
              </c:strCache>
            </c:strRef>
          </c:cat>
          <c:val>
            <c:numRef>
              <c:f>Anthro!$E$3:$E$32</c:f>
              <c:numCache>
                <c:formatCode>General</c:formatCode>
                <c:ptCount val="30"/>
                <c:pt idx="0">
                  <c:v>76</c:v>
                </c:pt>
                <c:pt idx="1">
                  <c:v>109</c:v>
                </c:pt>
                <c:pt idx="2">
                  <c:v>121</c:v>
                </c:pt>
                <c:pt idx="3">
                  <c:v>140</c:v>
                </c:pt>
                <c:pt idx="4">
                  <c:v>150</c:v>
                </c:pt>
                <c:pt idx="5">
                  <c:v>130</c:v>
                </c:pt>
                <c:pt idx="6">
                  <c:v>173</c:v>
                </c:pt>
                <c:pt idx="7">
                  <c:v>140</c:v>
                </c:pt>
                <c:pt idx="8">
                  <c:v>118</c:v>
                </c:pt>
                <c:pt idx="9">
                  <c:v>132</c:v>
                </c:pt>
                <c:pt idx="10">
                  <c:v>130</c:v>
                </c:pt>
                <c:pt idx="11">
                  <c:v>156</c:v>
                </c:pt>
                <c:pt idx="12">
                  <c:v>148</c:v>
                </c:pt>
                <c:pt idx="13">
                  <c:v>141</c:v>
                </c:pt>
                <c:pt idx="14">
                  <c:v>137</c:v>
                </c:pt>
                <c:pt idx="15">
                  <c:v>139</c:v>
                </c:pt>
                <c:pt idx="16">
                  <c:v>138</c:v>
                </c:pt>
                <c:pt idx="17">
                  <c:v>145</c:v>
                </c:pt>
                <c:pt idx="18">
                  <c:v>135</c:v>
                </c:pt>
                <c:pt idx="19">
                  <c:v>112</c:v>
                </c:pt>
                <c:pt idx="20">
                  <c:v>129</c:v>
                </c:pt>
                <c:pt idx="21">
                  <c:v>132</c:v>
                </c:pt>
                <c:pt idx="22">
                  <c:v>143</c:v>
                </c:pt>
                <c:pt idx="23">
                  <c:v>130</c:v>
                </c:pt>
                <c:pt idx="24">
                  <c:v>148</c:v>
                </c:pt>
                <c:pt idx="25">
                  <c:v>133</c:v>
                </c:pt>
                <c:pt idx="26">
                  <c:v>145</c:v>
                </c:pt>
                <c:pt idx="27">
                  <c:v>146</c:v>
                </c:pt>
                <c:pt idx="28">
                  <c:v>146</c:v>
                </c:pt>
                <c:pt idx="29">
                  <c:v>131</c:v>
                </c:pt>
              </c:numCache>
            </c:numRef>
          </c:val>
        </c:ser>
        <c:dLbls>
          <c:showLegendKey val="0"/>
          <c:showVal val="0"/>
          <c:showCatName val="0"/>
          <c:showSerName val="0"/>
          <c:showPercent val="0"/>
          <c:showBubbleSize val="0"/>
        </c:dLbls>
        <c:gapWidth val="150"/>
        <c:axId val="265070080"/>
        <c:axId val="265068544"/>
      </c:barChart>
      <c:lineChart>
        <c:grouping val="standard"/>
        <c:varyColors val="0"/>
        <c:ser>
          <c:idx val="0"/>
          <c:order val="0"/>
          <c:tx>
            <c:strRef>
              <c:f>Anthro!$D$2</c:f>
              <c:strCache>
                <c:ptCount val="1"/>
                <c:pt idx="0">
                  <c:v>undwt_z</c:v>
                </c:pt>
              </c:strCache>
            </c:strRef>
          </c:tx>
          <c:spPr>
            <a:ln>
              <a:prstDash val="sysDash"/>
            </a:ln>
          </c:spPr>
          <c:marker>
            <c:symbol val="none"/>
          </c:marker>
          <c:trendline>
            <c:trendlineType val="movingAvg"/>
            <c:period val="2"/>
            <c:dispRSqr val="0"/>
            <c:dispEq val="0"/>
          </c:trendline>
          <c:trendline>
            <c:spPr>
              <a:ln w="38100"/>
            </c:spPr>
            <c:trendlineType val="movingAvg"/>
            <c:period val="2"/>
            <c:dispRSqr val="0"/>
            <c:dispEq val="0"/>
          </c:trendline>
          <c:cat>
            <c:strRef>
              <c:f>Anthro!$B$3:$B$32</c:f>
              <c:strCache>
                <c:ptCount val="30"/>
                <c:pt idx="0">
                  <c:v>0-1</c:v>
                </c:pt>
                <c:pt idx="1">
                  <c:v>2-3</c:v>
                </c:pt>
                <c:pt idx="2">
                  <c:v>4-5</c:v>
                </c:pt>
                <c:pt idx="3">
                  <c:v>6-7</c:v>
                </c:pt>
                <c:pt idx="4">
                  <c:v>8-9</c:v>
                </c:pt>
                <c:pt idx="5">
                  <c:v>10-11</c:v>
                </c:pt>
                <c:pt idx="6">
                  <c:v>12-13</c:v>
                </c:pt>
                <c:pt idx="7">
                  <c:v>14-15</c:v>
                </c:pt>
                <c:pt idx="8">
                  <c:v>16-17</c:v>
                </c:pt>
                <c:pt idx="9">
                  <c:v>18-19</c:v>
                </c:pt>
                <c:pt idx="10">
                  <c:v>20-21</c:v>
                </c:pt>
                <c:pt idx="11">
                  <c:v>22-23</c:v>
                </c:pt>
                <c:pt idx="12">
                  <c:v>24-25</c:v>
                </c:pt>
                <c:pt idx="13">
                  <c:v>26-27</c:v>
                </c:pt>
                <c:pt idx="14">
                  <c:v>28-29</c:v>
                </c:pt>
                <c:pt idx="15">
                  <c:v>30-31</c:v>
                </c:pt>
                <c:pt idx="16">
                  <c:v>32-33</c:v>
                </c:pt>
                <c:pt idx="17">
                  <c:v>34-35</c:v>
                </c:pt>
                <c:pt idx="18">
                  <c:v>36-37</c:v>
                </c:pt>
                <c:pt idx="19">
                  <c:v>38-39</c:v>
                </c:pt>
                <c:pt idx="20">
                  <c:v>40-41</c:v>
                </c:pt>
                <c:pt idx="21">
                  <c:v>42-43</c:v>
                </c:pt>
                <c:pt idx="22">
                  <c:v>44-45</c:v>
                </c:pt>
                <c:pt idx="23">
                  <c:v>46-47</c:v>
                </c:pt>
                <c:pt idx="24">
                  <c:v>48-49</c:v>
                </c:pt>
                <c:pt idx="25">
                  <c:v>50-51</c:v>
                </c:pt>
                <c:pt idx="26">
                  <c:v>52-53</c:v>
                </c:pt>
                <c:pt idx="27">
                  <c:v>54-55</c:v>
                </c:pt>
                <c:pt idx="28">
                  <c:v>56-57</c:v>
                </c:pt>
                <c:pt idx="29">
                  <c:v>58-59</c:v>
                </c:pt>
              </c:strCache>
            </c:strRef>
          </c:cat>
          <c:val>
            <c:numRef>
              <c:f>Anthro!$D$3:$D$32</c:f>
              <c:numCache>
                <c:formatCode>General</c:formatCode>
                <c:ptCount val="30"/>
                <c:pt idx="0">
                  <c:v>-0.77</c:v>
                </c:pt>
                <c:pt idx="1">
                  <c:v>-0.86</c:v>
                </c:pt>
                <c:pt idx="2">
                  <c:v>-0.89</c:v>
                </c:pt>
                <c:pt idx="3">
                  <c:v>-1.01</c:v>
                </c:pt>
                <c:pt idx="4">
                  <c:v>-0.96</c:v>
                </c:pt>
                <c:pt idx="5">
                  <c:v>-1.0900000000000001</c:v>
                </c:pt>
                <c:pt idx="6">
                  <c:v>-1.05</c:v>
                </c:pt>
                <c:pt idx="7">
                  <c:v>-1.36</c:v>
                </c:pt>
                <c:pt idx="8">
                  <c:v>-1.29</c:v>
                </c:pt>
                <c:pt idx="9">
                  <c:v>-1.63</c:v>
                </c:pt>
                <c:pt idx="10">
                  <c:v>-1.52</c:v>
                </c:pt>
                <c:pt idx="11">
                  <c:v>-1.17</c:v>
                </c:pt>
                <c:pt idx="12">
                  <c:v>-1.44</c:v>
                </c:pt>
                <c:pt idx="13">
                  <c:v>-1.36</c:v>
                </c:pt>
                <c:pt idx="14">
                  <c:v>-1.57</c:v>
                </c:pt>
                <c:pt idx="15">
                  <c:v>-1.67</c:v>
                </c:pt>
                <c:pt idx="16">
                  <c:v>-1.63</c:v>
                </c:pt>
                <c:pt idx="17">
                  <c:v>-1.43</c:v>
                </c:pt>
                <c:pt idx="18">
                  <c:v>-1.52</c:v>
                </c:pt>
                <c:pt idx="19">
                  <c:v>-1.51</c:v>
                </c:pt>
                <c:pt idx="20">
                  <c:v>-1.37</c:v>
                </c:pt>
                <c:pt idx="21">
                  <c:v>-1.72</c:v>
                </c:pt>
                <c:pt idx="22">
                  <c:v>-1.79</c:v>
                </c:pt>
                <c:pt idx="23">
                  <c:v>-1.65</c:v>
                </c:pt>
                <c:pt idx="24">
                  <c:v>-1.61</c:v>
                </c:pt>
                <c:pt idx="25">
                  <c:v>-1.79</c:v>
                </c:pt>
                <c:pt idx="26">
                  <c:v>-1.81</c:v>
                </c:pt>
                <c:pt idx="27">
                  <c:v>-1.67</c:v>
                </c:pt>
                <c:pt idx="28">
                  <c:v>-1.87</c:v>
                </c:pt>
                <c:pt idx="29">
                  <c:v>-1.68</c:v>
                </c:pt>
              </c:numCache>
            </c:numRef>
          </c:val>
          <c:smooth val="0"/>
        </c:ser>
        <c:dLbls>
          <c:showLegendKey val="0"/>
          <c:showVal val="0"/>
          <c:showCatName val="0"/>
          <c:showSerName val="0"/>
          <c:showPercent val="0"/>
          <c:showBubbleSize val="0"/>
        </c:dLbls>
        <c:marker val="1"/>
        <c:smooth val="0"/>
        <c:axId val="265065216"/>
        <c:axId val="265066752"/>
      </c:lineChart>
      <c:catAx>
        <c:axId val="265065216"/>
        <c:scaling>
          <c:orientation val="minMax"/>
        </c:scaling>
        <c:delete val="0"/>
        <c:axPos val="b"/>
        <c:majorTickMark val="out"/>
        <c:minorTickMark val="none"/>
        <c:tickLblPos val="nextTo"/>
        <c:crossAx val="265066752"/>
        <c:crosses val="autoZero"/>
        <c:auto val="1"/>
        <c:lblAlgn val="ctr"/>
        <c:lblOffset val="100"/>
        <c:noMultiLvlLbl val="0"/>
      </c:catAx>
      <c:valAx>
        <c:axId val="265066752"/>
        <c:scaling>
          <c:orientation val="minMax"/>
        </c:scaling>
        <c:delete val="0"/>
        <c:axPos val="l"/>
        <c:majorGridlines/>
        <c:numFmt formatCode="General" sourceLinked="1"/>
        <c:majorTickMark val="out"/>
        <c:minorTickMark val="none"/>
        <c:tickLblPos val="nextTo"/>
        <c:crossAx val="265065216"/>
        <c:crosses val="autoZero"/>
        <c:crossBetween val="between"/>
      </c:valAx>
      <c:valAx>
        <c:axId val="265068544"/>
        <c:scaling>
          <c:orientation val="minMax"/>
        </c:scaling>
        <c:delete val="0"/>
        <c:axPos val="r"/>
        <c:numFmt formatCode="General" sourceLinked="1"/>
        <c:majorTickMark val="out"/>
        <c:minorTickMark val="none"/>
        <c:tickLblPos val="nextTo"/>
        <c:crossAx val="265070080"/>
        <c:crosses val="max"/>
        <c:crossBetween val="between"/>
      </c:valAx>
      <c:catAx>
        <c:axId val="265070080"/>
        <c:scaling>
          <c:orientation val="minMax"/>
        </c:scaling>
        <c:delete val="1"/>
        <c:axPos val="b"/>
        <c:majorTickMark val="out"/>
        <c:minorTickMark val="none"/>
        <c:tickLblPos val="nextTo"/>
        <c:crossAx val="26506854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Underweight Trend: Urban vs. Rural, Wealth</a:t>
            </a:r>
          </a:p>
          <a:p>
            <a:pPr>
              <a:defRPr sz="1200"/>
            </a:pPr>
            <a:r>
              <a:rPr lang="en-US" sz="1200" b="0"/>
              <a:t>CDHS 2000-2010</a:t>
            </a:r>
          </a:p>
        </c:rich>
      </c:tx>
      <c:overlay val="1"/>
    </c:title>
    <c:autoTitleDeleted val="0"/>
    <c:plotArea>
      <c:layout/>
      <c:barChart>
        <c:barDir val="col"/>
        <c:grouping val="clustered"/>
        <c:varyColors val="0"/>
        <c:ser>
          <c:idx val="4"/>
          <c:order val="4"/>
          <c:tx>
            <c:v>Total</c:v>
          </c:tx>
          <c:spPr>
            <a:solidFill>
              <a:schemeClr val="bg1">
                <a:lumMod val="75000"/>
              </a:schemeClr>
            </a:solidFill>
          </c:spPr>
          <c:invertIfNegative val="0"/>
          <c:val>
            <c:numRef>
              <c:f>'1a. Underwt by urban poor'!$B$4:$D$4</c:f>
              <c:numCache>
                <c:formatCode>0.0</c:formatCode>
                <c:ptCount val="3"/>
                <c:pt idx="0">
                  <c:v>38.4</c:v>
                </c:pt>
                <c:pt idx="1">
                  <c:v>28.1</c:v>
                </c:pt>
                <c:pt idx="2">
                  <c:v>28.3</c:v>
                </c:pt>
              </c:numCache>
            </c:numRef>
          </c:val>
        </c:ser>
        <c:dLbls>
          <c:showLegendKey val="0"/>
          <c:showVal val="0"/>
          <c:showCatName val="0"/>
          <c:showSerName val="0"/>
          <c:showPercent val="0"/>
          <c:showBubbleSize val="0"/>
        </c:dLbls>
        <c:gapWidth val="150"/>
        <c:axId val="265121792"/>
        <c:axId val="265123328"/>
      </c:barChart>
      <c:lineChart>
        <c:grouping val="standard"/>
        <c:varyColors val="0"/>
        <c:ser>
          <c:idx val="0"/>
          <c:order val="0"/>
          <c:tx>
            <c:strRef>
              <c:f>'1a. Underwt by urban poor'!$A$12</c:f>
              <c:strCache>
                <c:ptCount val="1"/>
                <c:pt idx="0">
                  <c:v>UrbanQ1</c:v>
                </c:pt>
              </c:strCache>
            </c:strRef>
          </c:tx>
          <c:spPr>
            <a:ln>
              <a:solidFill>
                <a:schemeClr val="accent3"/>
              </a:solidFill>
              <a:prstDash val="sysDash"/>
            </a:ln>
          </c:spPr>
          <c:marker>
            <c:symbol val="none"/>
          </c:marker>
          <c:cat>
            <c:numRef>
              <c:f>'1a. Underwt by urban poor'!$B$3:$D$3</c:f>
              <c:numCache>
                <c:formatCode>General</c:formatCode>
                <c:ptCount val="3"/>
                <c:pt idx="0">
                  <c:v>2000</c:v>
                </c:pt>
                <c:pt idx="1">
                  <c:v>2005</c:v>
                </c:pt>
                <c:pt idx="2">
                  <c:v>2010</c:v>
                </c:pt>
              </c:numCache>
            </c:numRef>
          </c:cat>
          <c:val>
            <c:numRef>
              <c:f>'1a. Underwt by urban poor'!$B$12:$D$12</c:f>
              <c:numCache>
                <c:formatCode>General</c:formatCode>
                <c:ptCount val="3"/>
                <c:pt idx="0">
                  <c:v>44.1</c:v>
                </c:pt>
                <c:pt idx="1">
                  <c:v>40.4</c:v>
                </c:pt>
                <c:pt idx="2">
                  <c:v>30.6</c:v>
                </c:pt>
              </c:numCache>
            </c:numRef>
          </c:val>
          <c:smooth val="0"/>
        </c:ser>
        <c:ser>
          <c:idx val="1"/>
          <c:order val="1"/>
          <c:tx>
            <c:strRef>
              <c:f>'1a. Underwt by urban poor'!$A$13</c:f>
              <c:strCache>
                <c:ptCount val="1"/>
                <c:pt idx="0">
                  <c:v>UrbanQ5</c:v>
                </c:pt>
              </c:strCache>
            </c:strRef>
          </c:tx>
          <c:spPr>
            <a:ln>
              <a:solidFill>
                <a:schemeClr val="accent3"/>
              </a:solidFill>
            </a:ln>
          </c:spPr>
          <c:marker>
            <c:symbol val="none"/>
          </c:marker>
          <c:cat>
            <c:numRef>
              <c:f>'1a. Underwt by urban poor'!$B$3:$D$3</c:f>
              <c:numCache>
                <c:formatCode>General</c:formatCode>
                <c:ptCount val="3"/>
                <c:pt idx="0">
                  <c:v>2000</c:v>
                </c:pt>
                <c:pt idx="1">
                  <c:v>2005</c:v>
                </c:pt>
                <c:pt idx="2">
                  <c:v>2010</c:v>
                </c:pt>
              </c:numCache>
            </c:numRef>
          </c:cat>
          <c:val>
            <c:numRef>
              <c:f>'1a. Underwt by urban poor'!$B$13:$D$13</c:f>
              <c:numCache>
                <c:formatCode>General</c:formatCode>
                <c:ptCount val="3"/>
                <c:pt idx="0">
                  <c:v>22.6</c:v>
                </c:pt>
                <c:pt idx="1">
                  <c:v>15.5</c:v>
                </c:pt>
                <c:pt idx="2">
                  <c:v>17.2</c:v>
                </c:pt>
              </c:numCache>
            </c:numRef>
          </c:val>
          <c:smooth val="0"/>
        </c:ser>
        <c:ser>
          <c:idx val="2"/>
          <c:order val="2"/>
          <c:tx>
            <c:strRef>
              <c:f>'1a. Underwt by urban poor'!$A$14</c:f>
              <c:strCache>
                <c:ptCount val="1"/>
                <c:pt idx="0">
                  <c:v>RuralQ1</c:v>
                </c:pt>
              </c:strCache>
            </c:strRef>
          </c:tx>
          <c:spPr>
            <a:ln>
              <a:solidFill>
                <a:schemeClr val="accent2"/>
              </a:solidFill>
              <a:prstDash val="sysDash"/>
            </a:ln>
          </c:spPr>
          <c:marker>
            <c:symbol val="none"/>
          </c:marker>
          <c:cat>
            <c:numRef>
              <c:f>'1a. Underwt by urban poor'!$B$3:$D$3</c:f>
              <c:numCache>
                <c:formatCode>General</c:formatCode>
                <c:ptCount val="3"/>
                <c:pt idx="0">
                  <c:v>2000</c:v>
                </c:pt>
                <c:pt idx="1">
                  <c:v>2005</c:v>
                </c:pt>
                <c:pt idx="2">
                  <c:v>2010</c:v>
                </c:pt>
              </c:numCache>
            </c:numRef>
          </c:cat>
          <c:val>
            <c:numRef>
              <c:f>'1a. Underwt by urban poor'!$B$14:$D$14</c:f>
              <c:numCache>
                <c:formatCode>General</c:formatCode>
                <c:ptCount val="3"/>
                <c:pt idx="0">
                  <c:v>43.5</c:v>
                </c:pt>
                <c:pt idx="1">
                  <c:v>34.299999999999997</c:v>
                </c:pt>
                <c:pt idx="2">
                  <c:v>36.299999999999997</c:v>
                </c:pt>
              </c:numCache>
            </c:numRef>
          </c:val>
          <c:smooth val="0"/>
        </c:ser>
        <c:ser>
          <c:idx val="3"/>
          <c:order val="3"/>
          <c:tx>
            <c:strRef>
              <c:f>'1a. Underwt by urban poor'!$A$15</c:f>
              <c:strCache>
                <c:ptCount val="1"/>
                <c:pt idx="0">
                  <c:v>RuralQ5</c:v>
                </c:pt>
              </c:strCache>
            </c:strRef>
          </c:tx>
          <c:spPr>
            <a:ln>
              <a:solidFill>
                <a:schemeClr val="accent2"/>
              </a:solidFill>
            </a:ln>
          </c:spPr>
          <c:marker>
            <c:symbol val="none"/>
          </c:marker>
          <c:cat>
            <c:numRef>
              <c:f>'1a. Underwt by urban poor'!$B$3:$D$3</c:f>
              <c:numCache>
                <c:formatCode>General</c:formatCode>
                <c:ptCount val="3"/>
                <c:pt idx="0">
                  <c:v>2000</c:v>
                </c:pt>
                <c:pt idx="1">
                  <c:v>2005</c:v>
                </c:pt>
                <c:pt idx="2">
                  <c:v>2010</c:v>
                </c:pt>
              </c:numCache>
            </c:numRef>
          </c:cat>
          <c:val>
            <c:numRef>
              <c:f>'1a. Underwt by urban poor'!$B$15:$D$15</c:f>
              <c:numCache>
                <c:formatCode>General</c:formatCode>
                <c:ptCount val="3"/>
                <c:pt idx="0">
                  <c:v>36</c:v>
                </c:pt>
                <c:pt idx="1">
                  <c:v>14.1</c:v>
                </c:pt>
                <c:pt idx="2">
                  <c:v>17.600000000000001</c:v>
                </c:pt>
              </c:numCache>
            </c:numRef>
          </c:val>
          <c:smooth val="0"/>
        </c:ser>
        <c:dLbls>
          <c:showLegendKey val="0"/>
          <c:showVal val="0"/>
          <c:showCatName val="0"/>
          <c:showSerName val="0"/>
          <c:showPercent val="0"/>
          <c:showBubbleSize val="0"/>
        </c:dLbls>
        <c:marker val="1"/>
        <c:smooth val="0"/>
        <c:axId val="265121792"/>
        <c:axId val="265123328"/>
      </c:lineChart>
      <c:catAx>
        <c:axId val="265121792"/>
        <c:scaling>
          <c:orientation val="minMax"/>
        </c:scaling>
        <c:delete val="0"/>
        <c:axPos val="b"/>
        <c:numFmt formatCode="General" sourceLinked="1"/>
        <c:majorTickMark val="out"/>
        <c:minorTickMark val="none"/>
        <c:tickLblPos val="nextTo"/>
        <c:crossAx val="265123328"/>
        <c:crosses val="autoZero"/>
        <c:auto val="1"/>
        <c:lblAlgn val="ctr"/>
        <c:lblOffset val="100"/>
        <c:noMultiLvlLbl val="0"/>
      </c:catAx>
      <c:valAx>
        <c:axId val="265123328"/>
        <c:scaling>
          <c:orientation val="minMax"/>
        </c:scaling>
        <c:delete val="0"/>
        <c:axPos val="l"/>
        <c:numFmt formatCode="0" sourceLinked="0"/>
        <c:majorTickMark val="out"/>
        <c:minorTickMark val="none"/>
        <c:tickLblPos val="nextTo"/>
        <c:crossAx val="26512179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Underweight Trend: Urban by Wealth</a:t>
            </a:r>
          </a:p>
          <a:p>
            <a:pPr>
              <a:defRPr sz="1200"/>
            </a:pPr>
            <a:r>
              <a:rPr lang="en-US" sz="1200" b="0"/>
              <a:t>CDHS</a:t>
            </a:r>
            <a:r>
              <a:rPr lang="en-US" sz="1200" b="0" baseline="0"/>
              <a:t> 2000-2010</a:t>
            </a:r>
            <a:endParaRPr lang="en-US" sz="1200" b="0"/>
          </a:p>
        </c:rich>
      </c:tx>
      <c:overlay val="1"/>
    </c:title>
    <c:autoTitleDeleted val="0"/>
    <c:plotArea>
      <c:layout/>
      <c:lineChart>
        <c:grouping val="standard"/>
        <c:varyColors val="0"/>
        <c:ser>
          <c:idx val="0"/>
          <c:order val="0"/>
          <c:tx>
            <c:strRef>
              <c:f>'1a. Underwt by urban poor'!$A$19</c:f>
              <c:strCache>
                <c:ptCount val="1"/>
                <c:pt idx="0">
                  <c:v>UrbanQ1</c:v>
                </c:pt>
              </c:strCache>
            </c:strRef>
          </c:tx>
          <c:cat>
            <c:numRef>
              <c:f>'1a. Underwt by urban poor'!$B$3:$D$3</c:f>
              <c:numCache>
                <c:formatCode>General</c:formatCode>
                <c:ptCount val="3"/>
                <c:pt idx="0">
                  <c:v>2000</c:v>
                </c:pt>
                <c:pt idx="1">
                  <c:v>2005</c:v>
                </c:pt>
                <c:pt idx="2">
                  <c:v>2010</c:v>
                </c:pt>
              </c:numCache>
            </c:numRef>
          </c:cat>
          <c:val>
            <c:numRef>
              <c:f>'1a. Underwt by urban poor'!$B$19:$D$19</c:f>
              <c:numCache>
                <c:formatCode>General</c:formatCode>
                <c:ptCount val="3"/>
                <c:pt idx="0">
                  <c:v>44.1</c:v>
                </c:pt>
                <c:pt idx="1">
                  <c:v>40.4</c:v>
                </c:pt>
                <c:pt idx="2">
                  <c:v>30.6</c:v>
                </c:pt>
              </c:numCache>
            </c:numRef>
          </c:val>
          <c:smooth val="0"/>
        </c:ser>
        <c:ser>
          <c:idx val="1"/>
          <c:order val="1"/>
          <c:tx>
            <c:strRef>
              <c:f>'1a. Underwt by urban poor'!$A$20</c:f>
              <c:strCache>
                <c:ptCount val="1"/>
                <c:pt idx="0">
                  <c:v>UrbanQ2</c:v>
                </c:pt>
              </c:strCache>
            </c:strRef>
          </c:tx>
          <c:cat>
            <c:numRef>
              <c:f>'1a. Underwt by urban poor'!$B$3:$D$3</c:f>
              <c:numCache>
                <c:formatCode>General</c:formatCode>
                <c:ptCount val="3"/>
                <c:pt idx="0">
                  <c:v>2000</c:v>
                </c:pt>
                <c:pt idx="1">
                  <c:v>2005</c:v>
                </c:pt>
                <c:pt idx="2">
                  <c:v>2010</c:v>
                </c:pt>
              </c:numCache>
            </c:numRef>
          </c:cat>
          <c:val>
            <c:numRef>
              <c:f>'1a. Underwt by urban poor'!$B$20:$D$20</c:f>
              <c:numCache>
                <c:formatCode>General</c:formatCode>
                <c:ptCount val="3"/>
                <c:pt idx="0">
                  <c:v>45.2</c:v>
                </c:pt>
                <c:pt idx="1">
                  <c:v>44.3</c:v>
                </c:pt>
                <c:pt idx="2">
                  <c:v>22.3</c:v>
                </c:pt>
              </c:numCache>
            </c:numRef>
          </c:val>
          <c:smooth val="0"/>
        </c:ser>
        <c:ser>
          <c:idx val="2"/>
          <c:order val="2"/>
          <c:tx>
            <c:strRef>
              <c:f>'1a. Underwt by urban poor'!$A$21</c:f>
              <c:strCache>
                <c:ptCount val="1"/>
                <c:pt idx="0">
                  <c:v>UrbanQ3</c:v>
                </c:pt>
              </c:strCache>
            </c:strRef>
          </c:tx>
          <c:cat>
            <c:numRef>
              <c:f>'1a. Underwt by urban poor'!$B$3:$D$3</c:f>
              <c:numCache>
                <c:formatCode>General</c:formatCode>
                <c:ptCount val="3"/>
                <c:pt idx="0">
                  <c:v>2000</c:v>
                </c:pt>
                <c:pt idx="1">
                  <c:v>2005</c:v>
                </c:pt>
                <c:pt idx="2">
                  <c:v>2010</c:v>
                </c:pt>
              </c:numCache>
            </c:numRef>
          </c:cat>
          <c:val>
            <c:numRef>
              <c:f>'1a. Underwt by urban poor'!$B$21:$D$21</c:f>
              <c:numCache>
                <c:formatCode>General</c:formatCode>
                <c:ptCount val="3"/>
                <c:pt idx="0">
                  <c:v>48</c:v>
                </c:pt>
                <c:pt idx="1">
                  <c:v>28</c:v>
                </c:pt>
                <c:pt idx="2">
                  <c:v>32.700000000000003</c:v>
                </c:pt>
              </c:numCache>
            </c:numRef>
          </c:val>
          <c:smooth val="0"/>
        </c:ser>
        <c:ser>
          <c:idx val="3"/>
          <c:order val="3"/>
          <c:tx>
            <c:strRef>
              <c:f>'1a. Underwt by urban poor'!$A$22</c:f>
              <c:strCache>
                <c:ptCount val="1"/>
                <c:pt idx="0">
                  <c:v>UrbanQ4</c:v>
                </c:pt>
              </c:strCache>
            </c:strRef>
          </c:tx>
          <c:cat>
            <c:numRef>
              <c:f>'1a. Underwt by urban poor'!$B$3:$D$3</c:f>
              <c:numCache>
                <c:formatCode>General</c:formatCode>
                <c:ptCount val="3"/>
                <c:pt idx="0">
                  <c:v>2000</c:v>
                </c:pt>
                <c:pt idx="1">
                  <c:v>2005</c:v>
                </c:pt>
                <c:pt idx="2">
                  <c:v>2010</c:v>
                </c:pt>
              </c:numCache>
            </c:numRef>
          </c:cat>
          <c:val>
            <c:numRef>
              <c:f>'1a. Underwt by urban poor'!$B$22:$D$22</c:f>
              <c:numCache>
                <c:formatCode>General</c:formatCode>
                <c:ptCount val="3"/>
                <c:pt idx="0">
                  <c:v>35.799999999999997</c:v>
                </c:pt>
                <c:pt idx="1">
                  <c:v>45.5</c:v>
                </c:pt>
                <c:pt idx="2">
                  <c:v>16.100000000000001</c:v>
                </c:pt>
              </c:numCache>
            </c:numRef>
          </c:val>
          <c:smooth val="0"/>
        </c:ser>
        <c:ser>
          <c:idx val="4"/>
          <c:order val="4"/>
          <c:tx>
            <c:strRef>
              <c:f>'1a. Underwt by urban poor'!$A$23</c:f>
              <c:strCache>
                <c:ptCount val="1"/>
                <c:pt idx="0">
                  <c:v>UrbanQ5</c:v>
                </c:pt>
              </c:strCache>
            </c:strRef>
          </c:tx>
          <c:cat>
            <c:numRef>
              <c:f>'1a. Underwt by urban poor'!$B$3:$D$3</c:f>
              <c:numCache>
                <c:formatCode>General</c:formatCode>
                <c:ptCount val="3"/>
                <c:pt idx="0">
                  <c:v>2000</c:v>
                </c:pt>
                <c:pt idx="1">
                  <c:v>2005</c:v>
                </c:pt>
                <c:pt idx="2">
                  <c:v>2010</c:v>
                </c:pt>
              </c:numCache>
            </c:numRef>
          </c:cat>
          <c:val>
            <c:numRef>
              <c:f>'1a. Underwt by urban poor'!$B$23:$D$23</c:f>
              <c:numCache>
                <c:formatCode>General</c:formatCode>
                <c:ptCount val="3"/>
                <c:pt idx="0">
                  <c:v>22.6</c:v>
                </c:pt>
                <c:pt idx="1">
                  <c:v>15.5</c:v>
                </c:pt>
                <c:pt idx="2">
                  <c:v>17.2</c:v>
                </c:pt>
              </c:numCache>
            </c:numRef>
          </c:val>
          <c:smooth val="0"/>
        </c:ser>
        <c:dLbls>
          <c:showLegendKey val="0"/>
          <c:showVal val="0"/>
          <c:showCatName val="0"/>
          <c:showSerName val="0"/>
          <c:showPercent val="0"/>
          <c:showBubbleSize val="0"/>
        </c:dLbls>
        <c:marker val="1"/>
        <c:smooth val="0"/>
        <c:axId val="265143040"/>
        <c:axId val="265144576"/>
      </c:lineChart>
      <c:catAx>
        <c:axId val="265143040"/>
        <c:scaling>
          <c:orientation val="minMax"/>
        </c:scaling>
        <c:delete val="0"/>
        <c:axPos val="b"/>
        <c:numFmt formatCode="General" sourceLinked="1"/>
        <c:majorTickMark val="out"/>
        <c:minorTickMark val="none"/>
        <c:tickLblPos val="nextTo"/>
        <c:crossAx val="265144576"/>
        <c:crosses val="autoZero"/>
        <c:auto val="1"/>
        <c:lblAlgn val="ctr"/>
        <c:lblOffset val="100"/>
        <c:noMultiLvlLbl val="0"/>
      </c:catAx>
      <c:valAx>
        <c:axId val="265144576"/>
        <c:scaling>
          <c:orientation val="minMax"/>
        </c:scaling>
        <c:delete val="0"/>
        <c:axPos val="l"/>
        <c:numFmt formatCode="General" sourceLinked="1"/>
        <c:majorTickMark val="out"/>
        <c:minorTickMark val="none"/>
        <c:tickLblPos val="nextTo"/>
        <c:crossAx val="26514304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Underweight Trend: Rural by Wealth</a:t>
            </a:r>
          </a:p>
          <a:p>
            <a:pPr>
              <a:defRPr sz="1200"/>
            </a:pPr>
            <a:r>
              <a:rPr lang="en-US" sz="1200" b="0"/>
              <a:t>CDHS 2000-2010</a:t>
            </a:r>
          </a:p>
        </c:rich>
      </c:tx>
      <c:layout>
        <c:manualLayout>
          <c:xMode val="edge"/>
          <c:yMode val="edge"/>
          <c:x val="0.22652138399712485"/>
          <c:y val="1.2403098756337055E-2"/>
        </c:manualLayout>
      </c:layout>
      <c:overlay val="1"/>
    </c:title>
    <c:autoTitleDeleted val="0"/>
    <c:plotArea>
      <c:layout/>
      <c:lineChart>
        <c:grouping val="standard"/>
        <c:varyColors val="0"/>
        <c:ser>
          <c:idx val="0"/>
          <c:order val="0"/>
          <c:tx>
            <c:strRef>
              <c:f>'1a. Underwt by urban poor'!$A$36</c:f>
              <c:strCache>
                <c:ptCount val="1"/>
                <c:pt idx="0">
                  <c:v>RuralQ1</c:v>
                </c:pt>
              </c:strCache>
            </c:strRef>
          </c:tx>
          <c:cat>
            <c:numRef>
              <c:f>'1a. Underwt by urban poor'!$B$35:$D$35</c:f>
              <c:numCache>
                <c:formatCode>General</c:formatCode>
                <c:ptCount val="3"/>
                <c:pt idx="0">
                  <c:v>2000</c:v>
                </c:pt>
                <c:pt idx="1">
                  <c:v>2005</c:v>
                </c:pt>
                <c:pt idx="2">
                  <c:v>2010</c:v>
                </c:pt>
              </c:numCache>
            </c:numRef>
          </c:cat>
          <c:val>
            <c:numRef>
              <c:f>'1a. Underwt by urban poor'!$B$36:$D$36</c:f>
              <c:numCache>
                <c:formatCode>General</c:formatCode>
                <c:ptCount val="3"/>
                <c:pt idx="0">
                  <c:v>43.5</c:v>
                </c:pt>
                <c:pt idx="1">
                  <c:v>34.299999999999997</c:v>
                </c:pt>
                <c:pt idx="2">
                  <c:v>36.299999999999997</c:v>
                </c:pt>
              </c:numCache>
            </c:numRef>
          </c:val>
          <c:smooth val="0"/>
        </c:ser>
        <c:ser>
          <c:idx val="1"/>
          <c:order val="1"/>
          <c:tx>
            <c:strRef>
              <c:f>'1a. Underwt by urban poor'!$A$37</c:f>
              <c:strCache>
                <c:ptCount val="1"/>
                <c:pt idx="0">
                  <c:v>RuralQ2</c:v>
                </c:pt>
              </c:strCache>
            </c:strRef>
          </c:tx>
          <c:cat>
            <c:numRef>
              <c:f>'1a. Underwt by urban poor'!$B$35:$D$35</c:f>
              <c:numCache>
                <c:formatCode>General</c:formatCode>
                <c:ptCount val="3"/>
                <c:pt idx="0">
                  <c:v>2000</c:v>
                </c:pt>
                <c:pt idx="1">
                  <c:v>2005</c:v>
                </c:pt>
                <c:pt idx="2">
                  <c:v>2010</c:v>
                </c:pt>
              </c:numCache>
            </c:numRef>
          </c:cat>
          <c:val>
            <c:numRef>
              <c:f>'1a. Underwt by urban poor'!$B$37:$D$37</c:f>
              <c:numCache>
                <c:formatCode>General</c:formatCode>
                <c:ptCount val="3"/>
                <c:pt idx="0">
                  <c:v>40</c:v>
                </c:pt>
                <c:pt idx="1">
                  <c:v>32.4</c:v>
                </c:pt>
                <c:pt idx="2">
                  <c:v>31.2</c:v>
                </c:pt>
              </c:numCache>
            </c:numRef>
          </c:val>
          <c:smooth val="0"/>
        </c:ser>
        <c:ser>
          <c:idx val="2"/>
          <c:order val="2"/>
          <c:tx>
            <c:strRef>
              <c:f>'1a. Underwt by urban poor'!$A$38</c:f>
              <c:strCache>
                <c:ptCount val="1"/>
                <c:pt idx="0">
                  <c:v>RuralQ3</c:v>
                </c:pt>
              </c:strCache>
            </c:strRef>
          </c:tx>
          <c:cat>
            <c:numRef>
              <c:f>'1a. Underwt by urban poor'!$B$35:$D$35</c:f>
              <c:numCache>
                <c:formatCode>General</c:formatCode>
                <c:ptCount val="3"/>
                <c:pt idx="0">
                  <c:v>2000</c:v>
                </c:pt>
                <c:pt idx="1">
                  <c:v>2005</c:v>
                </c:pt>
                <c:pt idx="2">
                  <c:v>2010</c:v>
                </c:pt>
              </c:numCache>
            </c:numRef>
          </c:cat>
          <c:val>
            <c:numRef>
              <c:f>'1a. Underwt by urban poor'!$B$38:$D$38</c:f>
              <c:numCache>
                <c:formatCode>General</c:formatCode>
                <c:ptCount val="3"/>
                <c:pt idx="0">
                  <c:v>36</c:v>
                </c:pt>
                <c:pt idx="1">
                  <c:v>26.1</c:v>
                </c:pt>
                <c:pt idx="2">
                  <c:v>28</c:v>
                </c:pt>
              </c:numCache>
            </c:numRef>
          </c:val>
          <c:smooth val="0"/>
        </c:ser>
        <c:ser>
          <c:idx val="3"/>
          <c:order val="3"/>
          <c:tx>
            <c:strRef>
              <c:f>'1a. Underwt by urban poor'!$A$39</c:f>
              <c:strCache>
                <c:ptCount val="1"/>
                <c:pt idx="0">
                  <c:v>RuralQ4</c:v>
                </c:pt>
              </c:strCache>
            </c:strRef>
          </c:tx>
          <c:cat>
            <c:numRef>
              <c:f>'1a. Underwt by urban poor'!$B$35:$D$35</c:f>
              <c:numCache>
                <c:formatCode>General</c:formatCode>
                <c:ptCount val="3"/>
                <c:pt idx="0">
                  <c:v>2000</c:v>
                </c:pt>
                <c:pt idx="1">
                  <c:v>2005</c:v>
                </c:pt>
                <c:pt idx="2">
                  <c:v>2010</c:v>
                </c:pt>
              </c:numCache>
            </c:numRef>
          </c:cat>
          <c:val>
            <c:numRef>
              <c:f>'1a. Underwt by urban poor'!$B$39:$D$39</c:f>
              <c:numCache>
                <c:formatCode>General</c:formatCode>
                <c:ptCount val="3"/>
                <c:pt idx="0">
                  <c:v>37.6</c:v>
                </c:pt>
                <c:pt idx="1">
                  <c:v>23.5</c:v>
                </c:pt>
                <c:pt idx="2">
                  <c:v>25</c:v>
                </c:pt>
              </c:numCache>
            </c:numRef>
          </c:val>
          <c:smooth val="0"/>
        </c:ser>
        <c:ser>
          <c:idx val="4"/>
          <c:order val="4"/>
          <c:tx>
            <c:strRef>
              <c:f>'1a. Underwt by urban poor'!$A$40</c:f>
              <c:strCache>
                <c:ptCount val="1"/>
                <c:pt idx="0">
                  <c:v>RuralQ5</c:v>
                </c:pt>
              </c:strCache>
            </c:strRef>
          </c:tx>
          <c:cat>
            <c:numRef>
              <c:f>'1a. Underwt by urban poor'!$B$35:$D$35</c:f>
              <c:numCache>
                <c:formatCode>General</c:formatCode>
                <c:ptCount val="3"/>
                <c:pt idx="0">
                  <c:v>2000</c:v>
                </c:pt>
                <c:pt idx="1">
                  <c:v>2005</c:v>
                </c:pt>
                <c:pt idx="2">
                  <c:v>2010</c:v>
                </c:pt>
              </c:numCache>
            </c:numRef>
          </c:cat>
          <c:val>
            <c:numRef>
              <c:f>'1a. Underwt by urban poor'!$B$40:$D$40</c:f>
              <c:numCache>
                <c:formatCode>General</c:formatCode>
                <c:ptCount val="3"/>
                <c:pt idx="0">
                  <c:v>36</c:v>
                </c:pt>
                <c:pt idx="1">
                  <c:v>14.1</c:v>
                </c:pt>
                <c:pt idx="2">
                  <c:v>17.600000000000001</c:v>
                </c:pt>
              </c:numCache>
            </c:numRef>
          </c:val>
          <c:smooth val="0"/>
        </c:ser>
        <c:dLbls>
          <c:showLegendKey val="0"/>
          <c:showVal val="0"/>
          <c:showCatName val="0"/>
          <c:showSerName val="0"/>
          <c:showPercent val="0"/>
          <c:showBubbleSize val="0"/>
        </c:dLbls>
        <c:marker val="1"/>
        <c:smooth val="0"/>
        <c:axId val="265180672"/>
        <c:axId val="265182208"/>
      </c:lineChart>
      <c:catAx>
        <c:axId val="265180672"/>
        <c:scaling>
          <c:orientation val="minMax"/>
        </c:scaling>
        <c:delete val="0"/>
        <c:axPos val="b"/>
        <c:numFmt formatCode="General" sourceLinked="1"/>
        <c:majorTickMark val="out"/>
        <c:minorTickMark val="none"/>
        <c:tickLblPos val="nextTo"/>
        <c:crossAx val="265182208"/>
        <c:crosses val="autoZero"/>
        <c:auto val="1"/>
        <c:lblAlgn val="ctr"/>
        <c:lblOffset val="100"/>
        <c:noMultiLvlLbl val="0"/>
      </c:catAx>
      <c:valAx>
        <c:axId val="265182208"/>
        <c:scaling>
          <c:orientation val="minMax"/>
          <c:max val="60"/>
        </c:scaling>
        <c:delete val="0"/>
        <c:axPos val="l"/>
        <c:numFmt formatCode="General" sourceLinked="1"/>
        <c:majorTickMark val="out"/>
        <c:minorTickMark val="none"/>
        <c:tickLblPos val="nextTo"/>
        <c:crossAx val="265180672"/>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Anaemia and Haemoglobin</a:t>
            </a:r>
            <a:r>
              <a:rPr lang="en-GB" sz="1100" baseline="0"/>
              <a:t> Levels (non-pregnant women 15-49)</a:t>
            </a:r>
          </a:p>
          <a:p>
            <a:pPr>
              <a:defRPr sz="1100"/>
            </a:pPr>
            <a:r>
              <a:rPr lang="en-GB" sz="1100" b="0" baseline="0"/>
              <a:t>CDHS 2010</a:t>
            </a:r>
            <a:endParaRPr lang="en-GB" sz="1100" b="0"/>
          </a:p>
        </c:rich>
      </c:tx>
      <c:layout>
        <c:manualLayout>
          <c:xMode val="edge"/>
          <c:yMode val="edge"/>
          <c:x val="0.18836456271843025"/>
          <c:y val="0"/>
        </c:manualLayout>
      </c:layout>
      <c:overlay val="1"/>
    </c:title>
    <c:autoTitleDeleted val="0"/>
    <c:plotArea>
      <c:layout/>
      <c:lineChart>
        <c:grouping val="standard"/>
        <c:varyColors val="0"/>
        <c:ser>
          <c:idx val="0"/>
          <c:order val="0"/>
          <c:tx>
            <c:v>Haemoglobin Level</c:v>
          </c:tx>
          <c:marker>
            <c:symbol val="none"/>
          </c:marker>
          <c:trendline>
            <c:spPr>
              <a:ln>
                <a:solidFill>
                  <a:schemeClr val="tx2">
                    <a:lumMod val="60000"/>
                    <a:lumOff val="40000"/>
                  </a:schemeClr>
                </a:solidFill>
                <a:prstDash val="sysDash"/>
              </a:ln>
            </c:spPr>
            <c:trendlineType val="movingAvg"/>
            <c:period val="2"/>
            <c:dispRSqr val="0"/>
            <c:dispEq val="0"/>
          </c:trendline>
          <c:cat>
            <c:strRef>
              <c:f>'2.1 Women_Anaemia by age'!$B$5:$B$22</c:f>
              <c:strCache>
                <c:ptCount val="18"/>
                <c:pt idx="0">
                  <c:v>15-16</c:v>
                </c:pt>
                <c:pt idx="1">
                  <c:v>17-18</c:v>
                </c:pt>
                <c:pt idx="2">
                  <c:v>19-20</c:v>
                </c:pt>
                <c:pt idx="3">
                  <c:v>21-22</c:v>
                </c:pt>
                <c:pt idx="4">
                  <c:v>23-24</c:v>
                </c:pt>
                <c:pt idx="5">
                  <c:v>25-26</c:v>
                </c:pt>
                <c:pt idx="6">
                  <c:v>27-28</c:v>
                </c:pt>
                <c:pt idx="7">
                  <c:v>29-30</c:v>
                </c:pt>
                <c:pt idx="8">
                  <c:v>31-32</c:v>
                </c:pt>
                <c:pt idx="9">
                  <c:v>33-34</c:v>
                </c:pt>
                <c:pt idx="10">
                  <c:v>35-36</c:v>
                </c:pt>
                <c:pt idx="11">
                  <c:v>37-38</c:v>
                </c:pt>
                <c:pt idx="12">
                  <c:v>39-40</c:v>
                </c:pt>
                <c:pt idx="13">
                  <c:v>41-42</c:v>
                </c:pt>
                <c:pt idx="14">
                  <c:v>43-44</c:v>
                </c:pt>
                <c:pt idx="15">
                  <c:v>45-46</c:v>
                </c:pt>
                <c:pt idx="16">
                  <c:v>47-48</c:v>
                </c:pt>
                <c:pt idx="17">
                  <c:v>49-50</c:v>
                </c:pt>
              </c:strCache>
            </c:strRef>
          </c:cat>
          <c:val>
            <c:numRef>
              <c:f>'2.1 Women_Anaemia by age'!$E$5:$E$22</c:f>
              <c:numCache>
                <c:formatCode>0.00</c:formatCode>
                <c:ptCount val="18"/>
                <c:pt idx="0">
                  <c:v>11.92</c:v>
                </c:pt>
                <c:pt idx="1">
                  <c:v>11.96</c:v>
                </c:pt>
                <c:pt idx="2">
                  <c:v>12.18</c:v>
                </c:pt>
                <c:pt idx="3">
                  <c:v>12.07</c:v>
                </c:pt>
                <c:pt idx="4">
                  <c:v>12.16</c:v>
                </c:pt>
                <c:pt idx="5">
                  <c:v>12.14</c:v>
                </c:pt>
                <c:pt idx="6">
                  <c:v>12.1</c:v>
                </c:pt>
                <c:pt idx="7">
                  <c:v>12.31</c:v>
                </c:pt>
                <c:pt idx="8">
                  <c:v>12.11</c:v>
                </c:pt>
                <c:pt idx="9">
                  <c:v>12.29</c:v>
                </c:pt>
                <c:pt idx="10">
                  <c:v>12.1</c:v>
                </c:pt>
                <c:pt idx="11">
                  <c:v>12.27</c:v>
                </c:pt>
                <c:pt idx="12">
                  <c:v>11.95</c:v>
                </c:pt>
                <c:pt idx="13">
                  <c:v>12.05</c:v>
                </c:pt>
                <c:pt idx="14">
                  <c:v>11.9</c:v>
                </c:pt>
                <c:pt idx="15">
                  <c:v>11.96</c:v>
                </c:pt>
                <c:pt idx="16">
                  <c:v>11.87</c:v>
                </c:pt>
                <c:pt idx="17">
                  <c:v>11.84</c:v>
                </c:pt>
              </c:numCache>
            </c:numRef>
          </c:val>
          <c:smooth val="0"/>
        </c:ser>
        <c:dLbls>
          <c:showLegendKey val="0"/>
          <c:showVal val="0"/>
          <c:showCatName val="0"/>
          <c:showSerName val="0"/>
          <c:showPercent val="0"/>
          <c:showBubbleSize val="0"/>
        </c:dLbls>
        <c:marker val="1"/>
        <c:smooth val="0"/>
        <c:axId val="265222784"/>
        <c:axId val="265364224"/>
      </c:lineChart>
      <c:lineChart>
        <c:grouping val="standard"/>
        <c:varyColors val="0"/>
        <c:ser>
          <c:idx val="1"/>
          <c:order val="1"/>
          <c:tx>
            <c:v>Anaemia</c:v>
          </c:tx>
          <c:marker>
            <c:symbol val="none"/>
          </c:marker>
          <c:trendline>
            <c:spPr>
              <a:ln>
                <a:solidFill>
                  <a:schemeClr val="accent2"/>
                </a:solidFill>
                <a:prstDash val="sysDash"/>
              </a:ln>
            </c:spPr>
            <c:trendlineType val="movingAvg"/>
            <c:period val="2"/>
            <c:dispRSqr val="0"/>
            <c:dispEq val="0"/>
          </c:trendline>
          <c:cat>
            <c:strRef>
              <c:f>'2.1 Women_Anaemia by age'!$B$5:$B$22</c:f>
              <c:strCache>
                <c:ptCount val="18"/>
                <c:pt idx="0">
                  <c:v>15-16</c:v>
                </c:pt>
                <c:pt idx="1">
                  <c:v>17-18</c:v>
                </c:pt>
                <c:pt idx="2">
                  <c:v>19-20</c:v>
                </c:pt>
                <c:pt idx="3">
                  <c:v>21-22</c:v>
                </c:pt>
                <c:pt idx="4">
                  <c:v>23-24</c:v>
                </c:pt>
                <c:pt idx="5">
                  <c:v>25-26</c:v>
                </c:pt>
                <c:pt idx="6">
                  <c:v>27-28</c:v>
                </c:pt>
                <c:pt idx="7">
                  <c:v>29-30</c:v>
                </c:pt>
                <c:pt idx="8">
                  <c:v>31-32</c:v>
                </c:pt>
                <c:pt idx="9">
                  <c:v>33-34</c:v>
                </c:pt>
                <c:pt idx="10">
                  <c:v>35-36</c:v>
                </c:pt>
                <c:pt idx="11">
                  <c:v>37-38</c:v>
                </c:pt>
                <c:pt idx="12">
                  <c:v>39-40</c:v>
                </c:pt>
                <c:pt idx="13">
                  <c:v>41-42</c:v>
                </c:pt>
                <c:pt idx="14">
                  <c:v>43-44</c:v>
                </c:pt>
                <c:pt idx="15">
                  <c:v>45-46</c:v>
                </c:pt>
                <c:pt idx="16">
                  <c:v>47-48</c:v>
                </c:pt>
                <c:pt idx="17">
                  <c:v>49-50</c:v>
                </c:pt>
              </c:strCache>
            </c:strRef>
          </c:cat>
          <c:val>
            <c:numRef>
              <c:f>'2.1 Women_Anaemia by age'!$F$5:$F$22</c:f>
              <c:numCache>
                <c:formatCode>0.0</c:formatCode>
                <c:ptCount val="18"/>
                <c:pt idx="0">
                  <c:v>49.9</c:v>
                </c:pt>
                <c:pt idx="1">
                  <c:v>46.5</c:v>
                </c:pt>
                <c:pt idx="2">
                  <c:v>41.8</c:v>
                </c:pt>
                <c:pt idx="3">
                  <c:v>43.4</c:v>
                </c:pt>
                <c:pt idx="4">
                  <c:v>41.1</c:v>
                </c:pt>
                <c:pt idx="5">
                  <c:v>40.799999999999997</c:v>
                </c:pt>
                <c:pt idx="6">
                  <c:v>41</c:v>
                </c:pt>
                <c:pt idx="7">
                  <c:v>38.799999999999997</c:v>
                </c:pt>
                <c:pt idx="8">
                  <c:v>44.8</c:v>
                </c:pt>
                <c:pt idx="9">
                  <c:v>38</c:v>
                </c:pt>
                <c:pt idx="10">
                  <c:v>44</c:v>
                </c:pt>
                <c:pt idx="11">
                  <c:v>41.6</c:v>
                </c:pt>
                <c:pt idx="12">
                  <c:v>45.4</c:v>
                </c:pt>
                <c:pt idx="13">
                  <c:v>41.3</c:v>
                </c:pt>
                <c:pt idx="14">
                  <c:v>50.3</c:v>
                </c:pt>
                <c:pt idx="15">
                  <c:v>44.2</c:v>
                </c:pt>
                <c:pt idx="16">
                  <c:v>50.7</c:v>
                </c:pt>
                <c:pt idx="17">
                  <c:v>46.6</c:v>
                </c:pt>
              </c:numCache>
            </c:numRef>
          </c:val>
          <c:smooth val="0"/>
        </c:ser>
        <c:dLbls>
          <c:showLegendKey val="0"/>
          <c:showVal val="0"/>
          <c:showCatName val="0"/>
          <c:showSerName val="0"/>
          <c:showPercent val="0"/>
          <c:showBubbleSize val="0"/>
        </c:dLbls>
        <c:marker val="1"/>
        <c:smooth val="0"/>
        <c:axId val="265372416"/>
        <c:axId val="265366144"/>
      </c:lineChart>
      <c:catAx>
        <c:axId val="265222784"/>
        <c:scaling>
          <c:orientation val="minMax"/>
        </c:scaling>
        <c:delete val="0"/>
        <c:axPos val="b"/>
        <c:title>
          <c:tx>
            <c:rich>
              <a:bodyPr/>
              <a:lstStyle/>
              <a:p>
                <a:pPr>
                  <a:defRPr/>
                </a:pPr>
                <a:r>
                  <a:rPr lang="en-GB"/>
                  <a:t>Age</a:t>
                </a:r>
              </a:p>
            </c:rich>
          </c:tx>
          <c:layout>
            <c:manualLayout>
              <c:xMode val="edge"/>
              <c:yMode val="edge"/>
              <c:x val="0.43918003565062391"/>
              <c:y val="0.84061917595656355"/>
            </c:manualLayout>
          </c:layout>
          <c:overlay val="0"/>
        </c:title>
        <c:majorTickMark val="out"/>
        <c:minorTickMark val="none"/>
        <c:tickLblPos val="nextTo"/>
        <c:txPr>
          <a:bodyPr rot="-2700000"/>
          <a:lstStyle/>
          <a:p>
            <a:pPr>
              <a:defRPr/>
            </a:pPr>
            <a:endParaRPr lang="en-US"/>
          </a:p>
        </c:txPr>
        <c:crossAx val="265364224"/>
        <c:crosses val="autoZero"/>
        <c:auto val="1"/>
        <c:lblAlgn val="ctr"/>
        <c:lblOffset val="100"/>
        <c:noMultiLvlLbl val="0"/>
      </c:catAx>
      <c:valAx>
        <c:axId val="265364224"/>
        <c:scaling>
          <c:orientation val="minMax"/>
          <c:max val="12.4"/>
        </c:scaling>
        <c:delete val="0"/>
        <c:axPos val="l"/>
        <c:title>
          <c:tx>
            <c:rich>
              <a:bodyPr rot="-5400000" vert="horz"/>
              <a:lstStyle/>
              <a:p>
                <a:pPr>
                  <a:defRPr/>
                </a:pPr>
                <a:r>
                  <a:rPr lang="en-GB" b="0"/>
                  <a:t>g/dL</a:t>
                </a:r>
              </a:p>
            </c:rich>
          </c:tx>
          <c:layout>
            <c:manualLayout>
              <c:xMode val="edge"/>
              <c:yMode val="edge"/>
              <c:x val="8.9126559714795012E-3"/>
              <c:y val="0.36507204705678331"/>
            </c:manualLayout>
          </c:layout>
          <c:overlay val="0"/>
        </c:title>
        <c:numFmt formatCode="0.0" sourceLinked="0"/>
        <c:majorTickMark val="out"/>
        <c:minorTickMark val="none"/>
        <c:tickLblPos val="nextTo"/>
        <c:crossAx val="265222784"/>
        <c:crosses val="autoZero"/>
        <c:crossBetween val="between"/>
      </c:valAx>
      <c:valAx>
        <c:axId val="265366144"/>
        <c:scaling>
          <c:orientation val="minMax"/>
        </c:scaling>
        <c:delete val="0"/>
        <c:axPos val="r"/>
        <c:title>
          <c:tx>
            <c:rich>
              <a:bodyPr rot="-5400000" vert="horz"/>
              <a:lstStyle/>
              <a:p>
                <a:pPr>
                  <a:defRPr/>
                </a:pPr>
                <a:r>
                  <a:rPr lang="en-GB" b="0"/>
                  <a:t>%</a:t>
                </a:r>
              </a:p>
            </c:rich>
          </c:tx>
          <c:layout>
            <c:manualLayout>
              <c:xMode val="edge"/>
              <c:yMode val="edge"/>
              <c:x val="0.96220135584656186"/>
              <c:y val="0.32706056905996095"/>
            </c:manualLayout>
          </c:layout>
          <c:overlay val="0"/>
        </c:title>
        <c:numFmt formatCode="0" sourceLinked="0"/>
        <c:majorTickMark val="out"/>
        <c:minorTickMark val="none"/>
        <c:tickLblPos val="nextTo"/>
        <c:crossAx val="265372416"/>
        <c:crosses val="max"/>
        <c:crossBetween val="between"/>
      </c:valAx>
      <c:catAx>
        <c:axId val="265372416"/>
        <c:scaling>
          <c:orientation val="minMax"/>
        </c:scaling>
        <c:delete val="1"/>
        <c:axPos val="b"/>
        <c:majorTickMark val="out"/>
        <c:minorTickMark val="none"/>
        <c:tickLblPos val="nextTo"/>
        <c:crossAx val="2653661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Early Initiation BF Trend:</a:t>
            </a:r>
            <a:r>
              <a:rPr lang="en-GB" sz="1100" baseline="0"/>
              <a:t> Delivery Location</a:t>
            </a:r>
          </a:p>
          <a:p>
            <a:pPr>
              <a:defRPr sz="1100"/>
            </a:pPr>
            <a:r>
              <a:rPr lang="en-GB" sz="1100" b="0" baseline="0"/>
              <a:t>CDHS 2000-2010</a:t>
            </a:r>
            <a:endParaRPr lang="en-GB" sz="1100" b="0"/>
          </a:p>
        </c:rich>
      </c:tx>
      <c:layout>
        <c:manualLayout>
          <c:xMode val="edge"/>
          <c:yMode val="edge"/>
          <c:x val="0.25308369501467115"/>
          <c:y val="1.5696951719072236E-2"/>
        </c:manualLayout>
      </c:layout>
      <c:overlay val="1"/>
    </c:title>
    <c:autoTitleDeleted val="0"/>
    <c:plotArea>
      <c:layout/>
      <c:scatterChart>
        <c:scatterStyle val="lineMarker"/>
        <c:varyColors val="0"/>
        <c:ser>
          <c:idx val="0"/>
          <c:order val="0"/>
          <c:tx>
            <c:v>Public</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prelacteal'!$N$14:$N$100</c:f>
              <c:numCache>
                <c:formatCode>General</c:formatCode>
                <c:ptCount val="87"/>
                <c:pt idx="1">
                  <c:v>0.45784599999999998</c:v>
                </c:pt>
                <c:pt idx="2">
                  <c:v>0.46097650000000001</c:v>
                </c:pt>
                <c:pt idx="3">
                  <c:v>0.27986060000000001</c:v>
                </c:pt>
                <c:pt idx="4">
                  <c:v>8.2419800000000001E-2</c:v>
                </c:pt>
                <c:pt idx="5">
                  <c:v>0.25187009999999999</c:v>
                </c:pt>
                <c:pt idx="6">
                  <c:v>3.12278E-2</c:v>
                </c:pt>
                <c:pt idx="7">
                  <c:v>0.19830880000000001</c:v>
                </c:pt>
                <c:pt idx="9">
                  <c:v>0.2284409</c:v>
                </c:pt>
                <c:pt idx="10">
                  <c:v>0.1982187</c:v>
                </c:pt>
                <c:pt idx="11">
                  <c:v>0.1058668</c:v>
                </c:pt>
                <c:pt idx="12">
                  <c:v>0.27408280000000002</c:v>
                </c:pt>
                <c:pt idx="13">
                  <c:v>0.1247236</c:v>
                </c:pt>
                <c:pt idx="14">
                  <c:v>0.18479129999999999</c:v>
                </c:pt>
                <c:pt idx="15">
                  <c:v>0.30982799999999999</c:v>
                </c:pt>
                <c:pt idx="16">
                  <c:v>0.15384249999999999</c:v>
                </c:pt>
                <c:pt idx="17">
                  <c:v>5.1056999999999998E-2</c:v>
                </c:pt>
                <c:pt idx="18">
                  <c:v>9.7242700000000001E-2</c:v>
                </c:pt>
                <c:pt idx="19">
                  <c:v>0.19164580000000001</c:v>
                </c:pt>
                <c:pt idx="20">
                  <c:v>0.24226220000000001</c:v>
                </c:pt>
                <c:pt idx="21">
                  <c:v>6.9407499999999997E-2</c:v>
                </c:pt>
                <c:pt idx="22">
                  <c:v>0.12397179999999999</c:v>
                </c:pt>
                <c:pt idx="23">
                  <c:v>4.8825199999999999E-2</c:v>
                </c:pt>
                <c:pt idx="24">
                  <c:v>0.38540980000000002</c:v>
                </c:pt>
                <c:pt idx="25">
                  <c:v>0.22975090000000001</c:v>
                </c:pt>
                <c:pt idx="26">
                  <c:v>0.37911319999999998</c:v>
                </c:pt>
                <c:pt idx="29">
                  <c:v>0.3230287</c:v>
                </c:pt>
                <c:pt idx="30">
                  <c:v>0.31804339999999998</c:v>
                </c:pt>
                <c:pt idx="31">
                  <c:v>0.16630739999999999</c:v>
                </c:pt>
                <c:pt idx="32">
                  <c:v>0.54389580000000004</c:v>
                </c:pt>
                <c:pt idx="33">
                  <c:v>0.42574479999999998</c:v>
                </c:pt>
                <c:pt idx="34">
                  <c:v>0.6504373</c:v>
                </c:pt>
                <c:pt idx="35">
                  <c:v>0.69274979999999997</c:v>
                </c:pt>
                <c:pt idx="36">
                  <c:v>0.61320450000000004</c:v>
                </c:pt>
                <c:pt idx="37">
                  <c:v>0.67740290000000003</c:v>
                </c:pt>
                <c:pt idx="38">
                  <c:v>0.42379939999999999</c:v>
                </c:pt>
                <c:pt idx="39">
                  <c:v>0.40941549999999999</c:v>
                </c:pt>
                <c:pt idx="40">
                  <c:v>0.43921519999999997</c:v>
                </c:pt>
                <c:pt idx="41">
                  <c:v>0.4945312</c:v>
                </c:pt>
                <c:pt idx="42">
                  <c:v>0.44303969999999998</c:v>
                </c:pt>
                <c:pt idx="43">
                  <c:v>0.61051860000000002</c:v>
                </c:pt>
                <c:pt idx="44">
                  <c:v>0.37710290000000002</c:v>
                </c:pt>
                <c:pt idx="45">
                  <c:v>0.52893760000000001</c:v>
                </c:pt>
                <c:pt idx="46">
                  <c:v>0.26790900000000001</c:v>
                </c:pt>
                <c:pt idx="47">
                  <c:v>0.3919455</c:v>
                </c:pt>
                <c:pt idx="48">
                  <c:v>0.2256021</c:v>
                </c:pt>
                <c:pt idx="49">
                  <c:v>0.30554629999999999</c:v>
                </c:pt>
                <c:pt idx="50">
                  <c:v>0.4003931</c:v>
                </c:pt>
                <c:pt idx="51">
                  <c:v>0.54817680000000002</c:v>
                </c:pt>
                <c:pt idx="52">
                  <c:v>0.47316979999999997</c:v>
                </c:pt>
                <c:pt idx="53">
                  <c:v>0.60137289999999999</c:v>
                </c:pt>
                <c:pt idx="54">
                  <c:v>0.2458796</c:v>
                </c:pt>
                <c:pt idx="55">
                  <c:v>0.39631470000000002</c:v>
                </c:pt>
                <c:pt idx="56">
                  <c:v>0.50485599999999997</c:v>
                </c:pt>
                <c:pt idx="57">
                  <c:v>0.50525909999999996</c:v>
                </c:pt>
                <c:pt idx="58">
                  <c:v>1</c:v>
                </c:pt>
                <c:pt idx="59">
                  <c:v>0.73709429999999998</c:v>
                </c:pt>
                <c:pt idx="60">
                  <c:v>0.59201000000000004</c:v>
                </c:pt>
                <c:pt idx="61">
                  <c:v>0.71314770000000005</c:v>
                </c:pt>
                <c:pt idx="62">
                  <c:v>0.61605209999999999</c:v>
                </c:pt>
                <c:pt idx="63">
                  <c:v>0.74591079999999998</c:v>
                </c:pt>
                <c:pt idx="64">
                  <c:v>0.58759689999999998</c:v>
                </c:pt>
                <c:pt idx="65">
                  <c:v>0.75650379999999995</c:v>
                </c:pt>
                <c:pt idx="66">
                  <c:v>0.664551</c:v>
                </c:pt>
                <c:pt idx="67">
                  <c:v>0.68444859999999996</c:v>
                </c:pt>
                <c:pt idx="68">
                  <c:v>0.71296599999999999</c:v>
                </c:pt>
                <c:pt idx="69">
                  <c:v>0.69271099999999997</c:v>
                </c:pt>
                <c:pt idx="70">
                  <c:v>0.64434420000000003</c:v>
                </c:pt>
                <c:pt idx="71">
                  <c:v>0.77511920000000001</c:v>
                </c:pt>
                <c:pt idx="72">
                  <c:v>0.70230780000000004</c:v>
                </c:pt>
                <c:pt idx="73">
                  <c:v>0.83442899999999998</c:v>
                </c:pt>
                <c:pt idx="74">
                  <c:v>0.65939970000000003</c:v>
                </c:pt>
                <c:pt idx="75">
                  <c:v>0.70685480000000001</c:v>
                </c:pt>
                <c:pt idx="76">
                  <c:v>0.60198359999999995</c:v>
                </c:pt>
                <c:pt idx="77">
                  <c:v>0.66579509999999997</c:v>
                </c:pt>
                <c:pt idx="78">
                  <c:v>0.66939249999999995</c:v>
                </c:pt>
                <c:pt idx="79">
                  <c:v>0.6511091</c:v>
                </c:pt>
                <c:pt idx="80">
                  <c:v>0.74381600000000003</c:v>
                </c:pt>
                <c:pt idx="81">
                  <c:v>0.61720719999999996</c:v>
                </c:pt>
                <c:pt idx="82">
                  <c:v>0.74809060000000005</c:v>
                </c:pt>
                <c:pt idx="83">
                  <c:v>0.87595389999999995</c:v>
                </c:pt>
                <c:pt idx="84">
                  <c:v>0.73648559999999996</c:v>
                </c:pt>
                <c:pt idx="85">
                  <c:v>0.80776599999999998</c:v>
                </c:pt>
                <c:pt idx="86">
                  <c:v>0.26102629999999999</c:v>
                </c:pt>
              </c:numCache>
            </c:numRef>
          </c:yVal>
          <c:smooth val="0"/>
        </c:ser>
        <c:ser>
          <c:idx val="1"/>
          <c:order val="1"/>
          <c:tx>
            <c:v>Private</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prelacteal'!$O$14:$O$100</c:f>
              <c:numCache>
                <c:formatCode>General</c:formatCode>
                <c:ptCount val="87"/>
                <c:pt idx="5">
                  <c:v>1</c:v>
                </c:pt>
                <c:pt idx="6">
                  <c:v>1</c:v>
                </c:pt>
                <c:pt idx="9">
                  <c:v>1</c:v>
                </c:pt>
                <c:pt idx="12">
                  <c:v>0.63478259999999997</c:v>
                </c:pt>
                <c:pt idx="13">
                  <c:v>0.1695139</c:v>
                </c:pt>
                <c:pt idx="22">
                  <c:v>0.45042100000000002</c:v>
                </c:pt>
                <c:pt idx="23">
                  <c:v>0.18178649999999999</c:v>
                </c:pt>
                <c:pt idx="29">
                  <c:v>1</c:v>
                </c:pt>
                <c:pt idx="30">
                  <c:v>0.60145550000000003</c:v>
                </c:pt>
                <c:pt idx="31">
                  <c:v>0.28352830000000001</c:v>
                </c:pt>
                <c:pt idx="32">
                  <c:v>0.3684036</c:v>
                </c:pt>
                <c:pt idx="34">
                  <c:v>0.18840290000000001</c:v>
                </c:pt>
                <c:pt idx="35">
                  <c:v>0.71202370000000004</c:v>
                </c:pt>
                <c:pt idx="37">
                  <c:v>0.64136009999999999</c:v>
                </c:pt>
                <c:pt idx="39">
                  <c:v>0.25028660000000003</c:v>
                </c:pt>
                <c:pt idx="40">
                  <c:v>0.33901769999999998</c:v>
                </c:pt>
                <c:pt idx="41">
                  <c:v>0.31128790000000001</c:v>
                </c:pt>
                <c:pt idx="42">
                  <c:v>1</c:v>
                </c:pt>
                <c:pt idx="43">
                  <c:v>0.44491409999999998</c:v>
                </c:pt>
                <c:pt idx="44">
                  <c:v>0.1949987</c:v>
                </c:pt>
                <c:pt idx="45">
                  <c:v>0.48231410000000002</c:v>
                </c:pt>
                <c:pt idx="46">
                  <c:v>0.28127210000000002</c:v>
                </c:pt>
                <c:pt idx="47">
                  <c:v>1</c:v>
                </c:pt>
                <c:pt idx="48">
                  <c:v>0.1039501</c:v>
                </c:pt>
                <c:pt idx="49">
                  <c:v>0.26116909999999999</c:v>
                </c:pt>
                <c:pt idx="50">
                  <c:v>0.17674129999999999</c:v>
                </c:pt>
                <c:pt idx="51">
                  <c:v>0.124075</c:v>
                </c:pt>
                <c:pt idx="52">
                  <c:v>0.54153929999999995</c:v>
                </c:pt>
                <c:pt idx="53">
                  <c:v>0.36186210000000002</c:v>
                </c:pt>
                <c:pt idx="54">
                  <c:v>0.53705199999999997</c:v>
                </c:pt>
                <c:pt idx="58">
                  <c:v>0.50602029999999998</c:v>
                </c:pt>
                <c:pt idx="59">
                  <c:v>0.92044510000000002</c:v>
                </c:pt>
                <c:pt idx="60">
                  <c:v>0.4500807</c:v>
                </c:pt>
                <c:pt idx="61">
                  <c:v>0.75714459999999995</c:v>
                </c:pt>
                <c:pt idx="62">
                  <c:v>0.6575434</c:v>
                </c:pt>
                <c:pt idx="63">
                  <c:v>0.88230310000000001</c:v>
                </c:pt>
                <c:pt idx="64">
                  <c:v>0.94687290000000002</c:v>
                </c:pt>
                <c:pt idx="65">
                  <c:v>0.59941630000000001</c:v>
                </c:pt>
                <c:pt idx="66">
                  <c:v>0.85594610000000004</c:v>
                </c:pt>
                <c:pt idx="67">
                  <c:v>0.60400480000000001</c:v>
                </c:pt>
                <c:pt idx="68">
                  <c:v>0.35129749999999998</c:v>
                </c:pt>
                <c:pt idx="69">
                  <c:v>0.75826159999999998</c:v>
                </c:pt>
                <c:pt idx="70">
                  <c:v>0.62692829999999999</c:v>
                </c:pt>
                <c:pt idx="71">
                  <c:v>0.3785637</c:v>
                </c:pt>
                <c:pt idx="72">
                  <c:v>0.7681308</c:v>
                </c:pt>
                <c:pt idx="73">
                  <c:v>0.90528949999999997</c:v>
                </c:pt>
                <c:pt idx="74">
                  <c:v>0.6713962</c:v>
                </c:pt>
                <c:pt idx="75">
                  <c:v>0.70078960000000001</c:v>
                </c:pt>
                <c:pt idx="76">
                  <c:v>0.78018169999999998</c:v>
                </c:pt>
                <c:pt idx="77">
                  <c:v>0.43337880000000001</c:v>
                </c:pt>
                <c:pt idx="78">
                  <c:v>0.29194179999999997</c:v>
                </c:pt>
                <c:pt idx="79">
                  <c:v>0.19180630000000001</c:v>
                </c:pt>
                <c:pt idx="80">
                  <c:v>0.66014669999999998</c:v>
                </c:pt>
                <c:pt idx="81">
                  <c:v>0.63490849999999999</c:v>
                </c:pt>
                <c:pt idx="82">
                  <c:v>0.59142899999999998</c:v>
                </c:pt>
                <c:pt idx="83">
                  <c:v>1</c:v>
                </c:pt>
                <c:pt idx="84">
                  <c:v>0.9772864</c:v>
                </c:pt>
                <c:pt idx="85">
                  <c:v>0.65947699999999998</c:v>
                </c:pt>
                <c:pt idx="86">
                  <c:v>1</c:v>
                </c:pt>
              </c:numCache>
            </c:numRef>
          </c:yVal>
          <c:smooth val="0"/>
        </c:ser>
        <c:ser>
          <c:idx val="2"/>
          <c:order val="2"/>
          <c:tx>
            <c:v>Home</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prelacteal'!$P$14:$P$100</c:f>
              <c:numCache>
                <c:formatCode>General</c:formatCode>
                <c:ptCount val="87"/>
                <c:pt idx="0">
                  <c:v>0.1080942</c:v>
                </c:pt>
                <c:pt idx="1">
                  <c:v>0.1112016</c:v>
                </c:pt>
                <c:pt idx="2">
                  <c:v>2.9974000000000001E-2</c:v>
                </c:pt>
                <c:pt idx="3">
                  <c:v>0.11267149999999999</c:v>
                </c:pt>
                <c:pt idx="4">
                  <c:v>0.1079353</c:v>
                </c:pt>
                <c:pt idx="5">
                  <c:v>0.16546749999999999</c:v>
                </c:pt>
                <c:pt idx="6">
                  <c:v>0.20856</c:v>
                </c:pt>
                <c:pt idx="7">
                  <c:v>9.4970399999999996E-2</c:v>
                </c:pt>
                <c:pt idx="8">
                  <c:v>0.12684010000000001</c:v>
                </c:pt>
                <c:pt idx="9">
                  <c:v>0.11627460000000001</c:v>
                </c:pt>
                <c:pt idx="10">
                  <c:v>7.9809699999999997E-2</c:v>
                </c:pt>
                <c:pt idx="11">
                  <c:v>9.2770199999999997E-2</c:v>
                </c:pt>
                <c:pt idx="12">
                  <c:v>0.10035810000000001</c:v>
                </c:pt>
                <c:pt idx="13">
                  <c:v>9.2500399999999997E-2</c:v>
                </c:pt>
                <c:pt idx="14">
                  <c:v>0.13153599999999999</c:v>
                </c:pt>
                <c:pt idx="15">
                  <c:v>6.3614699999999996E-2</c:v>
                </c:pt>
                <c:pt idx="16">
                  <c:v>6.3916299999999995E-2</c:v>
                </c:pt>
                <c:pt idx="17">
                  <c:v>0.1561931</c:v>
                </c:pt>
                <c:pt idx="18">
                  <c:v>0.10626579999999999</c:v>
                </c:pt>
                <c:pt idx="19">
                  <c:v>9.4514399999999998E-2</c:v>
                </c:pt>
                <c:pt idx="20">
                  <c:v>0.13377149999999999</c:v>
                </c:pt>
                <c:pt idx="21">
                  <c:v>0.14728840000000001</c:v>
                </c:pt>
                <c:pt idx="22">
                  <c:v>4.2562200000000001E-2</c:v>
                </c:pt>
                <c:pt idx="23">
                  <c:v>9.0838600000000005E-2</c:v>
                </c:pt>
                <c:pt idx="24">
                  <c:v>9.7688800000000006E-2</c:v>
                </c:pt>
                <c:pt idx="25">
                  <c:v>7.7226500000000003E-2</c:v>
                </c:pt>
                <c:pt idx="26">
                  <c:v>0.14765429999999999</c:v>
                </c:pt>
                <c:pt idx="27">
                  <c:v>0.2823309</c:v>
                </c:pt>
                <c:pt idx="28">
                  <c:v>0.50063860000000004</c:v>
                </c:pt>
                <c:pt idx="30">
                  <c:v>9.9419400000000005E-2</c:v>
                </c:pt>
                <c:pt idx="31">
                  <c:v>0.36875079999999999</c:v>
                </c:pt>
                <c:pt idx="32">
                  <c:v>0.18594269999999999</c:v>
                </c:pt>
                <c:pt idx="33">
                  <c:v>0.2174295</c:v>
                </c:pt>
                <c:pt idx="34">
                  <c:v>0.2464741</c:v>
                </c:pt>
                <c:pt idx="35">
                  <c:v>0.28874569999999999</c:v>
                </c:pt>
                <c:pt idx="36">
                  <c:v>0.35935689999999998</c:v>
                </c:pt>
                <c:pt idx="37">
                  <c:v>0.4092382</c:v>
                </c:pt>
                <c:pt idx="38">
                  <c:v>0.31837029999999999</c:v>
                </c:pt>
                <c:pt idx="39">
                  <c:v>0.3241752</c:v>
                </c:pt>
                <c:pt idx="40">
                  <c:v>0.36246499999999998</c:v>
                </c:pt>
                <c:pt idx="41">
                  <c:v>0.31479859999999998</c:v>
                </c:pt>
                <c:pt idx="42">
                  <c:v>0.29663909999999999</c:v>
                </c:pt>
                <c:pt idx="43">
                  <c:v>0.34733789999999998</c:v>
                </c:pt>
                <c:pt idx="44">
                  <c:v>0.32146429999999998</c:v>
                </c:pt>
                <c:pt idx="45">
                  <c:v>0.48440499999999997</c:v>
                </c:pt>
                <c:pt idx="46">
                  <c:v>0.29620740000000001</c:v>
                </c:pt>
                <c:pt idx="47">
                  <c:v>0.32798519999999998</c:v>
                </c:pt>
                <c:pt idx="48">
                  <c:v>0.30827450000000001</c:v>
                </c:pt>
                <c:pt idx="49">
                  <c:v>0.34594950000000002</c:v>
                </c:pt>
                <c:pt idx="50">
                  <c:v>0.33418409999999998</c:v>
                </c:pt>
                <c:pt idx="51">
                  <c:v>0.32157459999999999</c:v>
                </c:pt>
                <c:pt idx="52">
                  <c:v>0.46212219999999998</c:v>
                </c:pt>
                <c:pt idx="53">
                  <c:v>0.30325849999999999</c:v>
                </c:pt>
                <c:pt idx="54">
                  <c:v>0.34061930000000001</c:v>
                </c:pt>
                <c:pt idx="55">
                  <c:v>0.42648269999999999</c:v>
                </c:pt>
                <c:pt idx="56">
                  <c:v>0.35768850000000002</c:v>
                </c:pt>
                <c:pt idx="57">
                  <c:v>0.3460531</c:v>
                </c:pt>
                <c:pt idx="58">
                  <c:v>1</c:v>
                </c:pt>
                <c:pt idx="59">
                  <c:v>0.25403930000000002</c:v>
                </c:pt>
                <c:pt idx="60">
                  <c:v>0.71805870000000005</c:v>
                </c:pt>
                <c:pt idx="61">
                  <c:v>0.42327999999999999</c:v>
                </c:pt>
                <c:pt idx="62">
                  <c:v>0.58695419999999998</c:v>
                </c:pt>
                <c:pt idx="63">
                  <c:v>0.675651</c:v>
                </c:pt>
                <c:pt idx="64">
                  <c:v>0.56527079999999996</c:v>
                </c:pt>
                <c:pt idx="65">
                  <c:v>0.63597619999999999</c:v>
                </c:pt>
                <c:pt idx="66">
                  <c:v>0.4387105</c:v>
                </c:pt>
                <c:pt idx="67">
                  <c:v>0.50865629999999995</c:v>
                </c:pt>
                <c:pt idx="68">
                  <c:v>0.64826910000000004</c:v>
                </c:pt>
                <c:pt idx="69">
                  <c:v>0.63982810000000001</c:v>
                </c:pt>
                <c:pt idx="70">
                  <c:v>0.61970610000000004</c:v>
                </c:pt>
                <c:pt idx="71">
                  <c:v>0.55168680000000003</c:v>
                </c:pt>
                <c:pt idx="72">
                  <c:v>0.72083520000000001</c:v>
                </c:pt>
                <c:pt idx="73">
                  <c:v>0.57394789999999996</c:v>
                </c:pt>
                <c:pt idx="74">
                  <c:v>0.59135000000000004</c:v>
                </c:pt>
                <c:pt idx="75">
                  <c:v>0.67665039999999999</c:v>
                </c:pt>
                <c:pt idx="76">
                  <c:v>0.66733399999999998</c:v>
                </c:pt>
                <c:pt idx="77">
                  <c:v>0.53855580000000003</c:v>
                </c:pt>
                <c:pt idx="78">
                  <c:v>0.49660739999999998</c:v>
                </c:pt>
                <c:pt idx="79">
                  <c:v>0.65246700000000002</c:v>
                </c:pt>
                <c:pt idx="80">
                  <c:v>0.53645279999999995</c:v>
                </c:pt>
                <c:pt idx="81">
                  <c:v>0.55955900000000003</c:v>
                </c:pt>
                <c:pt idx="82">
                  <c:v>0.65366860000000004</c:v>
                </c:pt>
                <c:pt idx="83">
                  <c:v>0.73489899999999997</c:v>
                </c:pt>
                <c:pt idx="84">
                  <c:v>0.68783839999999996</c:v>
                </c:pt>
                <c:pt idx="85">
                  <c:v>0.82535899999999995</c:v>
                </c:pt>
                <c:pt idx="86">
                  <c:v>0.66749049999999999</c:v>
                </c:pt>
              </c:numCache>
            </c:numRef>
          </c:yVal>
          <c:smooth val="0"/>
        </c:ser>
        <c:dLbls>
          <c:showLegendKey val="0"/>
          <c:showVal val="0"/>
          <c:showCatName val="0"/>
          <c:showSerName val="0"/>
          <c:showPercent val="0"/>
          <c:showBubbleSize val="0"/>
        </c:dLbls>
        <c:axId val="265396992"/>
        <c:axId val="265398528"/>
      </c:scatterChart>
      <c:valAx>
        <c:axId val="265396992"/>
        <c:scaling>
          <c:orientation val="minMax"/>
        </c:scaling>
        <c:delete val="0"/>
        <c:axPos val="b"/>
        <c:numFmt formatCode="0" sourceLinked="1"/>
        <c:majorTickMark val="out"/>
        <c:minorTickMark val="none"/>
        <c:tickLblPos val="nextTo"/>
        <c:crossAx val="265398528"/>
        <c:crosses val="autoZero"/>
        <c:crossBetween val="midCat"/>
      </c:valAx>
      <c:valAx>
        <c:axId val="265398528"/>
        <c:scaling>
          <c:orientation val="minMax"/>
          <c:max val="1.1000000000000001"/>
        </c:scaling>
        <c:delete val="0"/>
        <c:axPos val="l"/>
        <c:numFmt formatCode="0%" sourceLinked="0"/>
        <c:majorTickMark val="out"/>
        <c:minorTickMark val="none"/>
        <c:tickLblPos val="nextTo"/>
        <c:crossAx val="2653969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'1a. Underwt by urban poor'!$A$44</c:f>
              <c:strCache>
                <c:ptCount val="1"/>
                <c:pt idx="0">
                  <c:v>RuralQ1</c:v>
                </c:pt>
              </c:strCache>
            </c:strRef>
          </c:tx>
          <c:cat>
            <c:numRef>
              <c:f>'1a. Underwt by urban poor'!$B$43:$D$43</c:f>
              <c:numCache>
                <c:formatCode>General</c:formatCode>
                <c:ptCount val="3"/>
                <c:pt idx="0">
                  <c:v>2000</c:v>
                </c:pt>
                <c:pt idx="1">
                  <c:v>2005</c:v>
                </c:pt>
                <c:pt idx="2">
                  <c:v>2010</c:v>
                </c:pt>
              </c:numCache>
            </c:numRef>
          </c:cat>
          <c:val>
            <c:numRef>
              <c:f>'1a. Underwt by urban poor'!$B$44:$D$44</c:f>
              <c:numCache>
                <c:formatCode>General</c:formatCode>
                <c:ptCount val="3"/>
                <c:pt idx="0">
                  <c:v>-1.86</c:v>
                </c:pt>
                <c:pt idx="1">
                  <c:v>-1.64</c:v>
                </c:pt>
                <c:pt idx="2">
                  <c:v>-1.66</c:v>
                </c:pt>
              </c:numCache>
            </c:numRef>
          </c:val>
          <c:smooth val="0"/>
        </c:ser>
        <c:ser>
          <c:idx val="1"/>
          <c:order val="1"/>
          <c:tx>
            <c:strRef>
              <c:f>'1a. Underwt by urban poor'!$A$45</c:f>
              <c:strCache>
                <c:ptCount val="1"/>
                <c:pt idx="0">
                  <c:v>RuralQ2</c:v>
                </c:pt>
              </c:strCache>
            </c:strRef>
          </c:tx>
          <c:cat>
            <c:numRef>
              <c:f>'1a. Underwt by urban poor'!$B$43:$D$43</c:f>
              <c:numCache>
                <c:formatCode>General</c:formatCode>
                <c:ptCount val="3"/>
                <c:pt idx="0">
                  <c:v>2000</c:v>
                </c:pt>
                <c:pt idx="1">
                  <c:v>2005</c:v>
                </c:pt>
                <c:pt idx="2">
                  <c:v>2010</c:v>
                </c:pt>
              </c:numCache>
            </c:numRef>
          </c:cat>
          <c:val>
            <c:numRef>
              <c:f>'1a. Underwt by urban poor'!$B$45:$D$45</c:f>
              <c:numCache>
                <c:formatCode>General</c:formatCode>
                <c:ptCount val="3"/>
                <c:pt idx="0">
                  <c:v>-1.76</c:v>
                </c:pt>
                <c:pt idx="1">
                  <c:v>-1.56</c:v>
                </c:pt>
                <c:pt idx="2">
                  <c:v>-1.51</c:v>
                </c:pt>
              </c:numCache>
            </c:numRef>
          </c:val>
          <c:smooth val="0"/>
        </c:ser>
        <c:ser>
          <c:idx val="2"/>
          <c:order val="2"/>
          <c:tx>
            <c:strRef>
              <c:f>'1a. Underwt by urban poor'!$A$46</c:f>
              <c:strCache>
                <c:ptCount val="1"/>
                <c:pt idx="0">
                  <c:v>RuralQ3</c:v>
                </c:pt>
              </c:strCache>
            </c:strRef>
          </c:tx>
          <c:cat>
            <c:numRef>
              <c:f>'1a. Underwt by urban poor'!$B$43:$D$43</c:f>
              <c:numCache>
                <c:formatCode>General</c:formatCode>
                <c:ptCount val="3"/>
                <c:pt idx="0">
                  <c:v>2000</c:v>
                </c:pt>
                <c:pt idx="1">
                  <c:v>2005</c:v>
                </c:pt>
                <c:pt idx="2">
                  <c:v>2010</c:v>
                </c:pt>
              </c:numCache>
            </c:numRef>
          </c:cat>
          <c:val>
            <c:numRef>
              <c:f>'1a. Underwt by urban poor'!$B$46:$D$46</c:f>
              <c:numCache>
                <c:formatCode>General</c:formatCode>
                <c:ptCount val="3"/>
                <c:pt idx="0">
                  <c:v>-1.6</c:v>
                </c:pt>
                <c:pt idx="1">
                  <c:v>-1.47</c:v>
                </c:pt>
                <c:pt idx="2">
                  <c:v>-1.47</c:v>
                </c:pt>
              </c:numCache>
            </c:numRef>
          </c:val>
          <c:smooth val="0"/>
        </c:ser>
        <c:ser>
          <c:idx val="3"/>
          <c:order val="3"/>
          <c:tx>
            <c:strRef>
              <c:f>'1a. Underwt by urban poor'!$A$47</c:f>
              <c:strCache>
                <c:ptCount val="1"/>
                <c:pt idx="0">
                  <c:v>RuralQ4</c:v>
                </c:pt>
              </c:strCache>
            </c:strRef>
          </c:tx>
          <c:cat>
            <c:numRef>
              <c:f>'1a. Underwt by urban poor'!$B$43:$D$43</c:f>
              <c:numCache>
                <c:formatCode>General</c:formatCode>
                <c:ptCount val="3"/>
                <c:pt idx="0">
                  <c:v>2000</c:v>
                </c:pt>
                <c:pt idx="1">
                  <c:v>2005</c:v>
                </c:pt>
                <c:pt idx="2">
                  <c:v>2010</c:v>
                </c:pt>
              </c:numCache>
            </c:numRef>
          </c:cat>
          <c:val>
            <c:numRef>
              <c:f>'1a. Underwt by urban poor'!$B$47:$D$47</c:f>
              <c:numCache>
                <c:formatCode>General</c:formatCode>
                <c:ptCount val="3"/>
                <c:pt idx="0">
                  <c:v>-1.65</c:v>
                </c:pt>
                <c:pt idx="1">
                  <c:v>-1.35</c:v>
                </c:pt>
                <c:pt idx="2">
                  <c:v>-1.4</c:v>
                </c:pt>
              </c:numCache>
            </c:numRef>
          </c:val>
          <c:smooth val="0"/>
        </c:ser>
        <c:ser>
          <c:idx val="4"/>
          <c:order val="4"/>
          <c:tx>
            <c:strRef>
              <c:f>'1a. Underwt by urban poor'!$A$48</c:f>
              <c:strCache>
                <c:ptCount val="1"/>
                <c:pt idx="0">
                  <c:v>RuralQ5</c:v>
                </c:pt>
              </c:strCache>
            </c:strRef>
          </c:tx>
          <c:cat>
            <c:numRef>
              <c:f>'1a. Underwt by urban poor'!$B$43:$D$43</c:f>
              <c:numCache>
                <c:formatCode>General</c:formatCode>
                <c:ptCount val="3"/>
                <c:pt idx="0">
                  <c:v>2000</c:v>
                </c:pt>
                <c:pt idx="1">
                  <c:v>2005</c:v>
                </c:pt>
                <c:pt idx="2">
                  <c:v>2010</c:v>
                </c:pt>
              </c:numCache>
            </c:numRef>
          </c:cat>
          <c:val>
            <c:numRef>
              <c:f>'1a. Underwt by urban poor'!$B$48:$D$48</c:f>
              <c:numCache>
                <c:formatCode>General</c:formatCode>
                <c:ptCount val="3"/>
                <c:pt idx="0">
                  <c:v>-1.36</c:v>
                </c:pt>
                <c:pt idx="1">
                  <c:v>-1.02</c:v>
                </c:pt>
                <c:pt idx="2">
                  <c:v>-1.1299999999999999</c:v>
                </c:pt>
              </c:numCache>
            </c:numRef>
          </c:val>
          <c:smooth val="0"/>
        </c:ser>
        <c:dLbls>
          <c:showLegendKey val="0"/>
          <c:showVal val="0"/>
          <c:showCatName val="0"/>
          <c:showSerName val="0"/>
          <c:showPercent val="0"/>
          <c:showBubbleSize val="0"/>
        </c:dLbls>
        <c:marker val="1"/>
        <c:smooth val="0"/>
        <c:axId val="265620096"/>
        <c:axId val="265646464"/>
      </c:lineChart>
      <c:catAx>
        <c:axId val="265620096"/>
        <c:scaling>
          <c:orientation val="minMax"/>
        </c:scaling>
        <c:delete val="0"/>
        <c:axPos val="b"/>
        <c:numFmt formatCode="General" sourceLinked="1"/>
        <c:majorTickMark val="out"/>
        <c:minorTickMark val="none"/>
        <c:tickLblPos val="nextTo"/>
        <c:crossAx val="265646464"/>
        <c:crosses val="autoZero"/>
        <c:auto val="1"/>
        <c:lblAlgn val="ctr"/>
        <c:lblOffset val="100"/>
        <c:noMultiLvlLbl val="0"/>
      </c:catAx>
      <c:valAx>
        <c:axId val="265646464"/>
        <c:scaling>
          <c:orientation val="minMax"/>
          <c:min val="-2.5"/>
        </c:scaling>
        <c:delete val="0"/>
        <c:axPos val="l"/>
        <c:numFmt formatCode="General" sourceLinked="1"/>
        <c:majorTickMark val="out"/>
        <c:minorTickMark val="none"/>
        <c:tickLblPos val="nextTo"/>
        <c:crossAx val="265620096"/>
        <c:crosses val="autoZero"/>
        <c:crossBetween val="between"/>
        <c:majorUnit val="0.5"/>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Early Inititation</a:t>
            </a:r>
            <a:r>
              <a:rPr lang="en-US" sz="1100" baseline="0"/>
              <a:t> BF &amp; Prelacteal Feeding Trend  </a:t>
            </a:r>
          </a:p>
          <a:p>
            <a:pPr>
              <a:defRPr sz="1100"/>
            </a:pPr>
            <a:r>
              <a:rPr lang="en-US" sz="1100" b="0" baseline="0"/>
              <a:t>CDHS 2000-2010</a:t>
            </a:r>
            <a:endParaRPr lang="en-US" sz="1100" b="0"/>
          </a:p>
        </c:rich>
      </c:tx>
      <c:overlay val="1"/>
    </c:title>
    <c:autoTitleDeleted val="0"/>
    <c:plotArea>
      <c:layout/>
      <c:scatterChart>
        <c:scatterStyle val="lineMarker"/>
        <c:varyColors val="0"/>
        <c:ser>
          <c:idx val="0"/>
          <c:order val="0"/>
          <c:tx>
            <c:v>Early Inititation (&lt;1 hour)</c:v>
          </c:tx>
          <c:spPr>
            <a:ln w="28575">
              <a:noFill/>
            </a:ln>
          </c:spPr>
          <c:xVal>
            <c:numRef>
              <c:f>'3.1 Early BF &amp; prelacteal'!$C$14:$C$100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prelacteal'!$D$14:$D$100</c:f>
              <c:numCache>
                <c:formatCode>0.000</c:formatCode>
                <c:ptCount val="87"/>
                <c:pt idx="0">
                  <c:v>0.1080942</c:v>
                </c:pt>
                <c:pt idx="1">
                  <c:v>0.115123</c:v>
                </c:pt>
                <c:pt idx="2">
                  <c:v>5.3279899999999998E-2</c:v>
                </c:pt>
                <c:pt idx="3">
                  <c:v>0.11858349999999999</c:v>
                </c:pt>
                <c:pt idx="4">
                  <c:v>0.1030238</c:v>
                </c:pt>
                <c:pt idx="5">
                  <c:v>0.1847038</c:v>
                </c:pt>
                <c:pt idx="6">
                  <c:v>0.207955</c:v>
                </c:pt>
                <c:pt idx="7">
                  <c:v>0.1056035</c:v>
                </c:pt>
                <c:pt idx="8">
                  <c:v>0.1203301</c:v>
                </c:pt>
                <c:pt idx="9">
                  <c:v>0.13437730000000001</c:v>
                </c:pt>
                <c:pt idx="10">
                  <c:v>8.7077500000000002E-2</c:v>
                </c:pt>
                <c:pt idx="11">
                  <c:v>9.3368900000000005E-2</c:v>
                </c:pt>
                <c:pt idx="12">
                  <c:v>0.13161829999999999</c:v>
                </c:pt>
                <c:pt idx="13">
                  <c:v>9.6070100000000005E-2</c:v>
                </c:pt>
                <c:pt idx="14">
                  <c:v>0.13185640000000001</c:v>
                </c:pt>
                <c:pt idx="15">
                  <c:v>8.3877400000000005E-2</c:v>
                </c:pt>
                <c:pt idx="16">
                  <c:v>6.9826899999999997E-2</c:v>
                </c:pt>
                <c:pt idx="17">
                  <c:v>0.13660410000000001</c:v>
                </c:pt>
                <c:pt idx="18">
                  <c:v>0.1028424</c:v>
                </c:pt>
                <c:pt idx="19">
                  <c:v>0.10232280000000001</c:v>
                </c:pt>
                <c:pt idx="20">
                  <c:v>0.1395623</c:v>
                </c:pt>
                <c:pt idx="21">
                  <c:v>0.13271079999999999</c:v>
                </c:pt>
                <c:pt idx="22">
                  <c:v>5.54447E-2</c:v>
                </c:pt>
                <c:pt idx="23">
                  <c:v>8.9197499999999999E-2</c:v>
                </c:pt>
                <c:pt idx="24">
                  <c:v>0.12318560000000001</c:v>
                </c:pt>
                <c:pt idx="25">
                  <c:v>9.2807100000000003E-2</c:v>
                </c:pt>
                <c:pt idx="26">
                  <c:v>0.17648539999999999</c:v>
                </c:pt>
                <c:pt idx="27">
                  <c:v>0.2823309</c:v>
                </c:pt>
                <c:pt idx="28">
                  <c:v>0.29845090000000002</c:v>
                </c:pt>
                <c:pt idx="29">
                  <c:v>0.1137312</c:v>
                </c:pt>
                <c:pt idx="30">
                  <c:v>0.22213930000000001</c:v>
                </c:pt>
                <c:pt idx="31">
                  <c:v>0.3276115</c:v>
                </c:pt>
                <c:pt idx="32">
                  <c:v>0.26174710000000001</c:v>
                </c:pt>
                <c:pt idx="33">
                  <c:v>0.25952799999999998</c:v>
                </c:pt>
                <c:pt idx="34">
                  <c:v>0.29565609999999998</c:v>
                </c:pt>
                <c:pt idx="35">
                  <c:v>0.37735239999999998</c:v>
                </c:pt>
                <c:pt idx="36">
                  <c:v>0.39111249999999997</c:v>
                </c:pt>
                <c:pt idx="37">
                  <c:v>0.46746399999999999</c:v>
                </c:pt>
                <c:pt idx="38">
                  <c:v>0.3283874</c:v>
                </c:pt>
                <c:pt idx="39">
                  <c:v>0.33675369999999999</c:v>
                </c:pt>
                <c:pt idx="40">
                  <c:v>0.37553619999999999</c:v>
                </c:pt>
                <c:pt idx="41">
                  <c:v>0.36089909999999997</c:v>
                </c:pt>
                <c:pt idx="42">
                  <c:v>0.33139390000000002</c:v>
                </c:pt>
                <c:pt idx="43">
                  <c:v>0.40952860000000002</c:v>
                </c:pt>
                <c:pt idx="44">
                  <c:v>0.32462839999999998</c:v>
                </c:pt>
                <c:pt idx="45">
                  <c:v>0.4910718</c:v>
                </c:pt>
                <c:pt idx="46">
                  <c:v>0.2888577</c:v>
                </c:pt>
                <c:pt idx="47">
                  <c:v>0.35858640000000003</c:v>
                </c:pt>
                <c:pt idx="48">
                  <c:v>0.27639839999999999</c:v>
                </c:pt>
                <c:pt idx="49">
                  <c:v>0.33193790000000001</c:v>
                </c:pt>
                <c:pt idx="50">
                  <c:v>0.34425850000000002</c:v>
                </c:pt>
                <c:pt idx="51">
                  <c:v>0.37086209999999997</c:v>
                </c:pt>
                <c:pt idx="52">
                  <c:v>0.4706302</c:v>
                </c:pt>
                <c:pt idx="53">
                  <c:v>0.38321810000000001</c:v>
                </c:pt>
                <c:pt idx="54">
                  <c:v>0.33060119999999998</c:v>
                </c:pt>
                <c:pt idx="55">
                  <c:v>0.41244960000000003</c:v>
                </c:pt>
                <c:pt idx="56">
                  <c:v>0.3628345</c:v>
                </c:pt>
                <c:pt idx="57">
                  <c:v>0.37769940000000002</c:v>
                </c:pt>
                <c:pt idx="58">
                  <c:v>0.81784429999999997</c:v>
                </c:pt>
                <c:pt idx="59">
                  <c:v>0.60392429999999997</c:v>
                </c:pt>
                <c:pt idx="60">
                  <c:v>0.62997729999999996</c:v>
                </c:pt>
                <c:pt idx="61">
                  <c:v>0.61498900000000001</c:v>
                </c:pt>
                <c:pt idx="62">
                  <c:v>0.606375</c:v>
                </c:pt>
                <c:pt idx="63">
                  <c:v>0.73696289999999998</c:v>
                </c:pt>
                <c:pt idx="64">
                  <c:v>0.59902759999999999</c:v>
                </c:pt>
                <c:pt idx="65">
                  <c:v>0.69584040000000003</c:v>
                </c:pt>
                <c:pt idx="66">
                  <c:v>0.58718110000000001</c:v>
                </c:pt>
                <c:pt idx="67">
                  <c:v>0.61645309999999998</c:v>
                </c:pt>
                <c:pt idx="68">
                  <c:v>0.67356450000000001</c:v>
                </c:pt>
                <c:pt idx="69">
                  <c:v>0.68881460000000005</c:v>
                </c:pt>
                <c:pt idx="70">
                  <c:v>0.6309884</c:v>
                </c:pt>
                <c:pt idx="71">
                  <c:v>0.64203750000000004</c:v>
                </c:pt>
                <c:pt idx="72">
                  <c:v>0.71276550000000005</c:v>
                </c:pt>
                <c:pt idx="73">
                  <c:v>0.7435638</c:v>
                </c:pt>
                <c:pt idx="74">
                  <c:v>0.64093129999999998</c:v>
                </c:pt>
                <c:pt idx="75">
                  <c:v>0.6846662</c:v>
                </c:pt>
                <c:pt idx="76">
                  <c:v>0.63134120000000005</c:v>
                </c:pt>
                <c:pt idx="77">
                  <c:v>0.61078759999999999</c:v>
                </c:pt>
                <c:pt idx="78">
                  <c:v>0.57517759999999996</c:v>
                </c:pt>
                <c:pt idx="79">
                  <c:v>0.61091499999999999</c:v>
                </c:pt>
                <c:pt idx="80">
                  <c:v>0.66563439999999996</c:v>
                </c:pt>
                <c:pt idx="81">
                  <c:v>0.59399270000000004</c:v>
                </c:pt>
                <c:pt idx="82">
                  <c:v>0.70276660000000002</c:v>
                </c:pt>
                <c:pt idx="83">
                  <c:v>0.8445182</c:v>
                </c:pt>
                <c:pt idx="84">
                  <c:v>0.75204190000000004</c:v>
                </c:pt>
                <c:pt idx="85">
                  <c:v>0.80090410000000001</c:v>
                </c:pt>
                <c:pt idx="86">
                  <c:v>0.39392860000000002</c:v>
                </c:pt>
              </c:numCache>
            </c:numRef>
          </c:yVal>
          <c:smooth val="0"/>
        </c:ser>
        <c:ser>
          <c:idx val="1"/>
          <c:order val="1"/>
          <c:tx>
            <c:v>Prelacteal Feeding</c:v>
          </c:tx>
          <c:spPr>
            <a:ln w="28575">
              <a:noFill/>
            </a:ln>
          </c:spPr>
          <c:xVal>
            <c:numRef>
              <c:f>'3.1 Early BF &amp; prelacteal'!$C$14:$C$100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prelacteal'!$F$14:$F$100</c:f>
              <c:numCache>
                <c:formatCode>General</c:formatCode>
                <c:ptCount val="87"/>
                <c:pt idx="0">
                  <c:v>0.9789909</c:v>
                </c:pt>
                <c:pt idx="1">
                  <c:v>0.98296130000000004</c:v>
                </c:pt>
                <c:pt idx="2">
                  <c:v>0.9018699</c:v>
                </c:pt>
                <c:pt idx="3">
                  <c:v>0.93373930000000005</c:v>
                </c:pt>
                <c:pt idx="4">
                  <c:v>0.94280339999999996</c:v>
                </c:pt>
                <c:pt idx="5">
                  <c:v>0.9439459</c:v>
                </c:pt>
                <c:pt idx="6">
                  <c:v>0.92102470000000003</c:v>
                </c:pt>
                <c:pt idx="7">
                  <c:v>0.97921639999999999</c:v>
                </c:pt>
                <c:pt idx="8">
                  <c:v>0.96704190000000001</c:v>
                </c:pt>
                <c:pt idx="9">
                  <c:v>0.91595749999999998</c:v>
                </c:pt>
                <c:pt idx="10">
                  <c:v>0.95321230000000001</c:v>
                </c:pt>
                <c:pt idx="11">
                  <c:v>0.93259460000000005</c:v>
                </c:pt>
                <c:pt idx="12">
                  <c:v>0.95070589999999999</c:v>
                </c:pt>
                <c:pt idx="13">
                  <c:v>0.93822209999999995</c:v>
                </c:pt>
                <c:pt idx="14">
                  <c:v>0.94225020000000004</c:v>
                </c:pt>
                <c:pt idx="15">
                  <c:v>0.93290790000000001</c:v>
                </c:pt>
                <c:pt idx="16">
                  <c:v>0.95871859999999998</c:v>
                </c:pt>
                <c:pt idx="17">
                  <c:v>0.93039280000000002</c:v>
                </c:pt>
                <c:pt idx="18">
                  <c:v>0.90515939999999995</c:v>
                </c:pt>
                <c:pt idx="19">
                  <c:v>0.91848569999999996</c:v>
                </c:pt>
                <c:pt idx="20">
                  <c:v>0.90481719999999999</c:v>
                </c:pt>
                <c:pt idx="21">
                  <c:v>0.93119099999999999</c:v>
                </c:pt>
                <c:pt idx="22">
                  <c:v>0.97273719999999997</c:v>
                </c:pt>
                <c:pt idx="23">
                  <c:v>0.94541140000000001</c:v>
                </c:pt>
                <c:pt idx="24">
                  <c:v>0.90628520000000001</c:v>
                </c:pt>
                <c:pt idx="25">
                  <c:v>0.92483820000000005</c:v>
                </c:pt>
                <c:pt idx="26">
                  <c:v>0.87327449999999995</c:v>
                </c:pt>
                <c:pt idx="27">
                  <c:v>0.73098180000000001</c:v>
                </c:pt>
                <c:pt idx="28">
                  <c:v>1</c:v>
                </c:pt>
                <c:pt idx="29">
                  <c:v>0.84502690000000003</c:v>
                </c:pt>
                <c:pt idx="30">
                  <c:v>0.82607410000000003</c:v>
                </c:pt>
                <c:pt idx="31">
                  <c:v>0.43644359999999999</c:v>
                </c:pt>
                <c:pt idx="32">
                  <c:v>0.60887829999999998</c:v>
                </c:pt>
                <c:pt idx="33">
                  <c:v>0.49342649999999999</c:v>
                </c:pt>
                <c:pt idx="34">
                  <c:v>0.65232270000000003</c:v>
                </c:pt>
                <c:pt idx="35">
                  <c:v>0.69672069999999997</c:v>
                </c:pt>
                <c:pt idx="36">
                  <c:v>0.4722093</c:v>
                </c:pt>
                <c:pt idx="37">
                  <c:v>0.4311875</c:v>
                </c:pt>
                <c:pt idx="38">
                  <c:v>0.53230889999999997</c:v>
                </c:pt>
                <c:pt idx="39">
                  <c:v>0.50898169999999998</c:v>
                </c:pt>
                <c:pt idx="40">
                  <c:v>0.51458959999999998</c:v>
                </c:pt>
                <c:pt idx="41">
                  <c:v>0.36954330000000002</c:v>
                </c:pt>
                <c:pt idx="42">
                  <c:v>0.46900900000000001</c:v>
                </c:pt>
                <c:pt idx="43">
                  <c:v>0.4455036</c:v>
                </c:pt>
                <c:pt idx="44">
                  <c:v>0.41080179999999999</c:v>
                </c:pt>
                <c:pt idx="45">
                  <c:v>0.45725900000000003</c:v>
                </c:pt>
                <c:pt idx="46">
                  <c:v>0.49174699999999999</c:v>
                </c:pt>
                <c:pt idx="47">
                  <c:v>0.38650499999999999</c:v>
                </c:pt>
                <c:pt idx="48">
                  <c:v>0.38340449999999998</c:v>
                </c:pt>
                <c:pt idx="49">
                  <c:v>0.33278469999999999</c:v>
                </c:pt>
                <c:pt idx="50">
                  <c:v>0.36810660000000001</c:v>
                </c:pt>
                <c:pt idx="51">
                  <c:v>0.27265270000000003</c:v>
                </c:pt>
                <c:pt idx="52">
                  <c:v>0.28916120000000001</c:v>
                </c:pt>
                <c:pt idx="53">
                  <c:v>0.32293810000000001</c:v>
                </c:pt>
                <c:pt idx="54">
                  <c:v>0.30712889999999998</c:v>
                </c:pt>
                <c:pt idx="55">
                  <c:v>0.29853000000000002</c:v>
                </c:pt>
                <c:pt idx="56">
                  <c:v>0.35475679999999998</c:v>
                </c:pt>
                <c:pt idx="57">
                  <c:v>0.3737182</c:v>
                </c:pt>
                <c:pt idx="58">
                  <c:v>0.22811010000000001</c:v>
                </c:pt>
                <c:pt idx="59">
                  <c:v>9.8703899999999997E-2</c:v>
                </c:pt>
                <c:pt idx="60">
                  <c:v>0.23158100000000001</c:v>
                </c:pt>
                <c:pt idx="61">
                  <c:v>0.22714229999999999</c:v>
                </c:pt>
                <c:pt idx="62">
                  <c:v>0.20707900000000001</c:v>
                </c:pt>
                <c:pt idx="63">
                  <c:v>0.30112169999999999</c:v>
                </c:pt>
                <c:pt idx="64">
                  <c:v>0.1523361</c:v>
                </c:pt>
                <c:pt idx="65">
                  <c:v>0.19843459999999999</c:v>
                </c:pt>
                <c:pt idx="66">
                  <c:v>0.2101324</c:v>
                </c:pt>
                <c:pt idx="67">
                  <c:v>0.23790259999999999</c:v>
                </c:pt>
                <c:pt idx="68">
                  <c:v>0.22130069999999999</c:v>
                </c:pt>
                <c:pt idx="69">
                  <c:v>0.24494060000000001</c:v>
                </c:pt>
                <c:pt idx="70">
                  <c:v>0.25556109999999999</c:v>
                </c:pt>
                <c:pt idx="71">
                  <c:v>0.1534229</c:v>
                </c:pt>
                <c:pt idx="72">
                  <c:v>0.25329940000000001</c:v>
                </c:pt>
                <c:pt idx="73">
                  <c:v>0.10323010000000001</c:v>
                </c:pt>
                <c:pt idx="74">
                  <c:v>0.198043</c:v>
                </c:pt>
                <c:pt idx="75">
                  <c:v>0.2158437</c:v>
                </c:pt>
                <c:pt idx="76">
                  <c:v>0.20221810000000001</c:v>
                </c:pt>
                <c:pt idx="77">
                  <c:v>0.15523870000000001</c:v>
                </c:pt>
                <c:pt idx="78">
                  <c:v>0.20304829999999999</c:v>
                </c:pt>
                <c:pt idx="79">
                  <c:v>0.1096178</c:v>
                </c:pt>
                <c:pt idx="80">
                  <c:v>0.1181595</c:v>
                </c:pt>
                <c:pt idx="81">
                  <c:v>0.15778510000000001</c:v>
                </c:pt>
                <c:pt idx="82">
                  <c:v>0.14408199999999999</c:v>
                </c:pt>
                <c:pt idx="83">
                  <c:v>0.15219840000000001</c:v>
                </c:pt>
                <c:pt idx="84">
                  <c:v>0.14104990000000001</c:v>
                </c:pt>
                <c:pt idx="85">
                  <c:v>6.0557800000000002E-2</c:v>
                </c:pt>
                <c:pt idx="86">
                  <c:v>0.16606090000000001</c:v>
                </c:pt>
              </c:numCache>
            </c:numRef>
          </c:yVal>
          <c:smooth val="0"/>
        </c:ser>
        <c:dLbls>
          <c:showLegendKey val="0"/>
          <c:showVal val="0"/>
          <c:showCatName val="0"/>
          <c:showSerName val="0"/>
          <c:showPercent val="0"/>
          <c:showBubbleSize val="0"/>
        </c:dLbls>
        <c:axId val="265503488"/>
        <c:axId val="265505024"/>
      </c:scatterChart>
      <c:valAx>
        <c:axId val="265503488"/>
        <c:scaling>
          <c:orientation val="minMax"/>
        </c:scaling>
        <c:delete val="0"/>
        <c:axPos val="b"/>
        <c:numFmt formatCode="0" sourceLinked="1"/>
        <c:majorTickMark val="out"/>
        <c:minorTickMark val="none"/>
        <c:tickLblPos val="nextTo"/>
        <c:crossAx val="265505024"/>
        <c:crosses val="autoZero"/>
        <c:crossBetween val="midCat"/>
      </c:valAx>
      <c:valAx>
        <c:axId val="265505024"/>
        <c:scaling>
          <c:orientation val="minMax"/>
          <c:max val="1.1000000000000001"/>
        </c:scaling>
        <c:delete val="0"/>
        <c:axPos val="l"/>
        <c:numFmt formatCode="0%" sourceLinked="0"/>
        <c:majorTickMark val="out"/>
        <c:minorTickMark val="none"/>
        <c:tickLblPos val="nextTo"/>
        <c:crossAx val="265503488"/>
        <c:crosses val="autoZero"/>
        <c:crossBetween val="midCat"/>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Prelacteal</a:t>
            </a:r>
            <a:r>
              <a:rPr lang="en-GB" sz="1100" baseline="0"/>
              <a:t> Feeding Trend: Delivery Location</a:t>
            </a:r>
          </a:p>
          <a:p>
            <a:pPr>
              <a:defRPr sz="1100"/>
            </a:pPr>
            <a:r>
              <a:rPr lang="en-GB" sz="1100" b="0" baseline="0"/>
              <a:t>CDHS 2000-2010</a:t>
            </a:r>
            <a:endParaRPr lang="en-GB" sz="1100" b="0"/>
          </a:p>
        </c:rich>
      </c:tx>
      <c:overlay val="1"/>
    </c:title>
    <c:autoTitleDeleted val="0"/>
    <c:plotArea>
      <c:layout/>
      <c:scatterChart>
        <c:scatterStyle val="lineMarker"/>
        <c:varyColors val="0"/>
        <c:ser>
          <c:idx val="0"/>
          <c:order val="0"/>
          <c:tx>
            <c:v>Public</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prelacteal'!$S$14:$S$100</c:f>
              <c:numCache>
                <c:formatCode>General</c:formatCode>
                <c:ptCount val="87"/>
                <c:pt idx="1">
                  <c:v>1</c:v>
                </c:pt>
                <c:pt idx="2">
                  <c:v>0.53902349999999999</c:v>
                </c:pt>
                <c:pt idx="3">
                  <c:v>0.74455530000000003</c:v>
                </c:pt>
                <c:pt idx="4">
                  <c:v>0.88184709999999999</c:v>
                </c:pt>
                <c:pt idx="5">
                  <c:v>1</c:v>
                </c:pt>
                <c:pt idx="6">
                  <c:v>0.96748060000000002</c:v>
                </c:pt>
                <c:pt idx="7">
                  <c:v>1</c:v>
                </c:pt>
                <c:pt idx="8">
                  <c:v>1</c:v>
                </c:pt>
                <c:pt idx="9">
                  <c:v>0.27797329999999998</c:v>
                </c:pt>
                <c:pt idx="10">
                  <c:v>1</c:v>
                </c:pt>
                <c:pt idx="11">
                  <c:v>1</c:v>
                </c:pt>
                <c:pt idx="12">
                  <c:v>1</c:v>
                </c:pt>
                <c:pt idx="13">
                  <c:v>0.96421449999999997</c:v>
                </c:pt>
                <c:pt idx="14">
                  <c:v>0.98600650000000001</c:v>
                </c:pt>
                <c:pt idx="15">
                  <c:v>0.93494310000000003</c:v>
                </c:pt>
                <c:pt idx="16">
                  <c:v>1</c:v>
                </c:pt>
                <c:pt idx="17">
                  <c:v>1</c:v>
                </c:pt>
                <c:pt idx="18">
                  <c:v>1</c:v>
                </c:pt>
                <c:pt idx="19">
                  <c:v>0.83677590000000002</c:v>
                </c:pt>
                <c:pt idx="20">
                  <c:v>1</c:v>
                </c:pt>
                <c:pt idx="21">
                  <c:v>1</c:v>
                </c:pt>
                <c:pt idx="22">
                  <c:v>1</c:v>
                </c:pt>
                <c:pt idx="23">
                  <c:v>1</c:v>
                </c:pt>
                <c:pt idx="24">
                  <c:v>0.75912000000000002</c:v>
                </c:pt>
                <c:pt idx="25">
                  <c:v>0.77024910000000002</c:v>
                </c:pt>
                <c:pt idx="26">
                  <c:v>0.67926569999999997</c:v>
                </c:pt>
                <c:pt idx="28">
                  <c:v>1</c:v>
                </c:pt>
                <c:pt idx="29">
                  <c:v>0.4492989</c:v>
                </c:pt>
                <c:pt idx="30">
                  <c:v>0.86736020000000003</c:v>
                </c:pt>
                <c:pt idx="31">
                  <c:v>0.27259430000000001</c:v>
                </c:pt>
                <c:pt idx="32">
                  <c:v>0.37997439999999999</c:v>
                </c:pt>
                <c:pt idx="33">
                  <c:v>0.43779200000000001</c:v>
                </c:pt>
                <c:pt idx="34">
                  <c:v>0.41934729999999998</c:v>
                </c:pt>
                <c:pt idx="35">
                  <c:v>0.6732764</c:v>
                </c:pt>
                <c:pt idx="36">
                  <c:v>0.4797035</c:v>
                </c:pt>
                <c:pt idx="37">
                  <c:v>0.2673508</c:v>
                </c:pt>
                <c:pt idx="38">
                  <c:v>0.53164679999999997</c:v>
                </c:pt>
                <c:pt idx="39">
                  <c:v>0.40522829999999999</c:v>
                </c:pt>
                <c:pt idx="40">
                  <c:v>0.37484190000000001</c:v>
                </c:pt>
                <c:pt idx="41">
                  <c:v>0.3702782</c:v>
                </c:pt>
                <c:pt idx="42">
                  <c:v>0.3087802</c:v>
                </c:pt>
                <c:pt idx="43">
                  <c:v>0.35276039999999997</c:v>
                </c:pt>
                <c:pt idx="44">
                  <c:v>8.8431099999999999E-2</c:v>
                </c:pt>
                <c:pt idx="45">
                  <c:v>0.23025970000000001</c:v>
                </c:pt>
                <c:pt idx="46">
                  <c:v>0.42476930000000002</c:v>
                </c:pt>
                <c:pt idx="47">
                  <c:v>0.27469320000000003</c:v>
                </c:pt>
                <c:pt idx="48">
                  <c:v>0.20718139999999999</c:v>
                </c:pt>
                <c:pt idx="49">
                  <c:v>0.36780489999999999</c:v>
                </c:pt>
                <c:pt idx="50">
                  <c:v>0.30856230000000001</c:v>
                </c:pt>
                <c:pt idx="51">
                  <c:v>0.16331799999999999</c:v>
                </c:pt>
                <c:pt idx="52">
                  <c:v>7.4624300000000005E-2</c:v>
                </c:pt>
                <c:pt idx="53">
                  <c:v>0.2883675</c:v>
                </c:pt>
                <c:pt idx="54">
                  <c:v>0.18900220000000001</c:v>
                </c:pt>
                <c:pt idx="55">
                  <c:v>0.17206270000000001</c:v>
                </c:pt>
                <c:pt idx="56">
                  <c:v>0.10761660000000001</c:v>
                </c:pt>
                <c:pt idx="57">
                  <c:v>0.39989330000000001</c:v>
                </c:pt>
                <c:pt idx="59">
                  <c:v>5.8028999999999997E-2</c:v>
                </c:pt>
                <c:pt idx="60">
                  <c:v>0.38789649999999998</c:v>
                </c:pt>
                <c:pt idx="61">
                  <c:v>0.2377243</c:v>
                </c:pt>
                <c:pt idx="62">
                  <c:v>0.27081739999999999</c:v>
                </c:pt>
                <c:pt idx="63">
                  <c:v>0.27846799999999999</c:v>
                </c:pt>
                <c:pt idx="64">
                  <c:v>0.1607722</c:v>
                </c:pt>
                <c:pt idx="65">
                  <c:v>0.164739</c:v>
                </c:pt>
                <c:pt idx="66">
                  <c:v>0.2066627</c:v>
                </c:pt>
                <c:pt idx="67">
                  <c:v>0.17536550000000001</c:v>
                </c:pt>
                <c:pt idx="68">
                  <c:v>0.19996639999999999</c:v>
                </c:pt>
                <c:pt idx="69">
                  <c:v>0.18460860000000001</c:v>
                </c:pt>
                <c:pt idx="70">
                  <c:v>0.15285009999999999</c:v>
                </c:pt>
                <c:pt idx="71">
                  <c:v>0.1211706</c:v>
                </c:pt>
                <c:pt idx="72">
                  <c:v>0.20284350000000001</c:v>
                </c:pt>
                <c:pt idx="73">
                  <c:v>4.9512899999999999E-2</c:v>
                </c:pt>
                <c:pt idx="74">
                  <c:v>0.1818176</c:v>
                </c:pt>
                <c:pt idx="75">
                  <c:v>0.1704127</c:v>
                </c:pt>
                <c:pt idx="76">
                  <c:v>0.1402803</c:v>
                </c:pt>
                <c:pt idx="77">
                  <c:v>0.10363509999999999</c:v>
                </c:pt>
                <c:pt idx="78">
                  <c:v>8.8808200000000004E-2</c:v>
                </c:pt>
                <c:pt idx="79">
                  <c:v>9.83908E-2</c:v>
                </c:pt>
                <c:pt idx="80">
                  <c:v>8.3725999999999995E-2</c:v>
                </c:pt>
                <c:pt idx="81">
                  <c:v>0.1340828</c:v>
                </c:pt>
                <c:pt idx="82">
                  <c:v>6.0352599999999999E-2</c:v>
                </c:pt>
                <c:pt idx="83">
                  <c:v>0.1254603</c:v>
                </c:pt>
                <c:pt idx="84">
                  <c:v>7.08921E-2</c:v>
                </c:pt>
                <c:pt idx="85">
                  <c:v>2.45323E-2</c:v>
                </c:pt>
                <c:pt idx="86">
                  <c:v>6.2731700000000001E-2</c:v>
                </c:pt>
              </c:numCache>
            </c:numRef>
          </c:yVal>
          <c:smooth val="0"/>
        </c:ser>
        <c:ser>
          <c:idx val="1"/>
          <c:order val="1"/>
          <c:tx>
            <c:v>Private</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prelacteal'!$T$14:$T$100</c:f>
              <c:numCache>
                <c:formatCode>General</c:formatCode>
                <c:ptCount val="87"/>
                <c:pt idx="2">
                  <c:v>1</c:v>
                </c:pt>
                <c:pt idx="3">
                  <c:v>1</c:v>
                </c:pt>
                <c:pt idx="6">
                  <c:v>1</c:v>
                </c:pt>
                <c:pt idx="10">
                  <c:v>1</c:v>
                </c:pt>
                <c:pt idx="12">
                  <c:v>1</c:v>
                </c:pt>
                <c:pt idx="13">
                  <c:v>1</c:v>
                </c:pt>
                <c:pt idx="14">
                  <c:v>1</c:v>
                </c:pt>
                <c:pt idx="16">
                  <c:v>0.1574391</c:v>
                </c:pt>
                <c:pt idx="17">
                  <c:v>1</c:v>
                </c:pt>
                <c:pt idx="18">
                  <c:v>1</c:v>
                </c:pt>
                <c:pt idx="19">
                  <c:v>0.74772380000000005</c:v>
                </c:pt>
                <c:pt idx="20">
                  <c:v>1</c:v>
                </c:pt>
                <c:pt idx="21">
                  <c:v>1</c:v>
                </c:pt>
                <c:pt idx="22">
                  <c:v>1</c:v>
                </c:pt>
                <c:pt idx="23">
                  <c:v>1</c:v>
                </c:pt>
                <c:pt idx="24">
                  <c:v>1</c:v>
                </c:pt>
                <c:pt idx="26">
                  <c:v>1</c:v>
                </c:pt>
                <c:pt idx="29">
                  <c:v>1</c:v>
                </c:pt>
                <c:pt idx="30">
                  <c:v>0.69841030000000004</c:v>
                </c:pt>
                <c:pt idx="31">
                  <c:v>1</c:v>
                </c:pt>
                <c:pt idx="32">
                  <c:v>0.85061399999999998</c:v>
                </c:pt>
                <c:pt idx="33">
                  <c:v>0.55655030000000005</c:v>
                </c:pt>
                <c:pt idx="34">
                  <c:v>0.67323259999999996</c:v>
                </c:pt>
                <c:pt idx="35">
                  <c:v>0.71202370000000004</c:v>
                </c:pt>
                <c:pt idx="37">
                  <c:v>0.46786450000000002</c:v>
                </c:pt>
                <c:pt idx="38">
                  <c:v>1</c:v>
                </c:pt>
                <c:pt idx="39">
                  <c:v>0.68416730000000003</c:v>
                </c:pt>
                <c:pt idx="40">
                  <c:v>0.31629879999999999</c:v>
                </c:pt>
                <c:pt idx="41">
                  <c:v>0.70728869999999999</c:v>
                </c:pt>
                <c:pt idx="42">
                  <c:v>0.33396009999999998</c:v>
                </c:pt>
                <c:pt idx="43">
                  <c:v>0.58035919999999996</c:v>
                </c:pt>
                <c:pt idx="44">
                  <c:v>0.401202</c:v>
                </c:pt>
                <c:pt idx="45">
                  <c:v>0.58537050000000002</c:v>
                </c:pt>
                <c:pt idx="46">
                  <c:v>0.40456249999999999</c:v>
                </c:pt>
                <c:pt idx="47">
                  <c:v>0.54085919999999998</c:v>
                </c:pt>
                <c:pt idx="48">
                  <c:v>0.61317580000000005</c:v>
                </c:pt>
                <c:pt idx="49">
                  <c:v>0.25916210000000001</c:v>
                </c:pt>
                <c:pt idx="50">
                  <c:v>0.33994269999999999</c:v>
                </c:pt>
                <c:pt idx="51">
                  <c:v>0.71082599999999996</c:v>
                </c:pt>
                <c:pt idx="52">
                  <c:v>0.57300289999999998</c:v>
                </c:pt>
                <c:pt idx="53">
                  <c:v>0.24819479999999999</c:v>
                </c:pt>
                <c:pt idx="54">
                  <c:v>0.52076560000000005</c:v>
                </c:pt>
                <c:pt idx="58">
                  <c:v>0.39997650000000001</c:v>
                </c:pt>
                <c:pt idx="59">
                  <c:v>9.3138299999999993E-2</c:v>
                </c:pt>
                <c:pt idx="61">
                  <c:v>0.1713066</c:v>
                </c:pt>
                <c:pt idx="62">
                  <c:v>0.45599440000000002</c:v>
                </c:pt>
                <c:pt idx="63">
                  <c:v>0.30808229999999998</c:v>
                </c:pt>
                <c:pt idx="64">
                  <c:v>0.29365829999999998</c:v>
                </c:pt>
                <c:pt idx="65">
                  <c:v>0.3611084</c:v>
                </c:pt>
                <c:pt idx="66">
                  <c:v>0.17491809999999999</c:v>
                </c:pt>
                <c:pt idx="67">
                  <c:v>0.21802560000000001</c:v>
                </c:pt>
                <c:pt idx="68">
                  <c:v>0.71657660000000001</c:v>
                </c:pt>
                <c:pt idx="69">
                  <c:v>0.32375199999999998</c:v>
                </c:pt>
                <c:pt idx="70">
                  <c:v>0.63483100000000003</c:v>
                </c:pt>
                <c:pt idx="71">
                  <c:v>0.46038220000000002</c:v>
                </c:pt>
                <c:pt idx="72">
                  <c:v>0.67215190000000002</c:v>
                </c:pt>
                <c:pt idx="73">
                  <c:v>0.18335319999999999</c:v>
                </c:pt>
                <c:pt idx="74">
                  <c:v>0.19175310000000001</c:v>
                </c:pt>
                <c:pt idx="75">
                  <c:v>0.40985379999999999</c:v>
                </c:pt>
                <c:pt idx="76">
                  <c:v>0.25841229999999998</c:v>
                </c:pt>
                <c:pt idx="77">
                  <c:v>0.3798956</c:v>
                </c:pt>
                <c:pt idx="78">
                  <c:v>0.27175939999999998</c:v>
                </c:pt>
                <c:pt idx="79">
                  <c:v>0.48607050000000002</c:v>
                </c:pt>
                <c:pt idx="80">
                  <c:v>0.26450420000000002</c:v>
                </c:pt>
                <c:pt idx="81">
                  <c:v>0.2901687</c:v>
                </c:pt>
                <c:pt idx="82">
                  <c:v>0.39977800000000002</c:v>
                </c:pt>
                <c:pt idx="84">
                  <c:v>0.13889489999999999</c:v>
                </c:pt>
                <c:pt idx="86">
                  <c:v>1</c:v>
                </c:pt>
              </c:numCache>
            </c:numRef>
          </c:yVal>
          <c:smooth val="0"/>
        </c:ser>
        <c:ser>
          <c:idx val="2"/>
          <c:order val="2"/>
          <c:tx>
            <c:v>Home</c:v>
          </c:tx>
          <c:spPr>
            <a:ln w="28575">
              <a:noFill/>
            </a:ln>
          </c:spPr>
          <c:xVal>
            <c:numRef>
              <c:f>'3.1 Early BF &amp; prelacteal'!$M$14:$M$100</c:f>
              <c:numCache>
                <c:formatCode>0</c:formatCode>
                <c:ptCount val="87"/>
                <c:pt idx="0">
                  <c:v>1998.25</c:v>
                </c:pt>
                <c:pt idx="1">
                  <c:v>1998.3333333333333</c:v>
                </c:pt>
                <c:pt idx="2">
                  <c:v>1998.4166666666667</c:v>
                </c:pt>
                <c:pt idx="3">
                  <c:v>1998.5</c:v>
                </c:pt>
                <c:pt idx="4">
                  <c:v>1998.5833333333333</c:v>
                </c:pt>
                <c:pt idx="5">
                  <c:v>1998.6666666666667</c:v>
                </c:pt>
                <c:pt idx="6">
                  <c:v>1998.75</c:v>
                </c:pt>
                <c:pt idx="7">
                  <c:v>1998.8333333333333</c:v>
                </c:pt>
                <c:pt idx="8">
                  <c:v>1998.9166666666667</c:v>
                </c:pt>
                <c:pt idx="9">
                  <c:v>1999</c:v>
                </c:pt>
                <c:pt idx="10">
                  <c:v>1999.0833333333333</c:v>
                </c:pt>
                <c:pt idx="11">
                  <c:v>1999.1666666666667</c:v>
                </c:pt>
                <c:pt idx="12">
                  <c:v>1999.25</c:v>
                </c:pt>
                <c:pt idx="13">
                  <c:v>1999.3333333333333</c:v>
                </c:pt>
                <c:pt idx="14">
                  <c:v>1999.4166666666667</c:v>
                </c:pt>
                <c:pt idx="15">
                  <c:v>1999.5</c:v>
                </c:pt>
                <c:pt idx="16">
                  <c:v>1999.5833333333333</c:v>
                </c:pt>
                <c:pt idx="17">
                  <c:v>1999.6666666666667</c:v>
                </c:pt>
                <c:pt idx="18">
                  <c:v>1999.75</c:v>
                </c:pt>
                <c:pt idx="19">
                  <c:v>1999.8333333333333</c:v>
                </c:pt>
                <c:pt idx="20">
                  <c:v>1999.9166666666667</c:v>
                </c:pt>
                <c:pt idx="21">
                  <c:v>2000</c:v>
                </c:pt>
                <c:pt idx="22">
                  <c:v>2000.0833333333333</c:v>
                </c:pt>
                <c:pt idx="23">
                  <c:v>2000.1666666666667</c:v>
                </c:pt>
                <c:pt idx="24">
                  <c:v>2000.25</c:v>
                </c:pt>
                <c:pt idx="25">
                  <c:v>2000.3333333333333</c:v>
                </c:pt>
                <c:pt idx="26">
                  <c:v>2000.4166666666667</c:v>
                </c:pt>
                <c:pt idx="27">
                  <c:v>2000.5</c:v>
                </c:pt>
                <c:pt idx="28">
                  <c:v>2000.5833333333333</c:v>
                </c:pt>
                <c:pt idx="29">
                  <c:v>2003.8333333333333</c:v>
                </c:pt>
                <c:pt idx="30">
                  <c:v>2003.9166666666667</c:v>
                </c:pt>
                <c:pt idx="31">
                  <c:v>2004</c:v>
                </c:pt>
                <c:pt idx="32">
                  <c:v>2004.0833333333333</c:v>
                </c:pt>
                <c:pt idx="33">
                  <c:v>2004.1666666666667</c:v>
                </c:pt>
                <c:pt idx="34">
                  <c:v>2004.25</c:v>
                </c:pt>
                <c:pt idx="35">
                  <c:v>2004.3333333333333</c:v>
                </c:pt>
                <c:pt idx="36">
                  <c:v>2004.4166666666667</c:v>
                </c:pt>
                <c:pt idx="37">
                  <c:v>2004.5</c:v>
                </c:pt>
                <c:pt idx="38">
                  <c:v>2004.5833333333333</c:v>
                </c:pt>
                <c:pt idx="39">
                  <c:v>2004.6666666666667</c:v>
                </c:pt>
                <c:pt idx="40">
                  <c:v>2004.75</c:v>
                </c:pt>
                <c:pt idx="41">
                  <c:v>2004.8333333333333</c:v>
                </c:pt>
                <c:pt idx="42">
                  <c:v>2004.9166666666667</c:v>
                </c:pt>
                <c:pt idx="43">
                  <c:v>2005</c:v>
                </c:pt>
                <c:pt idx="44">
                  <c:v>2005.0833333333333</c:v>
                </c:pt>
                <c:pt idx="45">
                  <c:v>2005.1666666666667</c:v>
                </c:pt>
                <c:pt idx="46">
                  <c:v>2005.25</c:v>
                </c:pt>
                <c:pt idx="47">
                  <c:v>2005.3333333333333</c:v>
                </c:pt>
                <c:pt idx="48">
                  <c:v>2005.4166666666667</c:v>
                </c:pt>
                <c:pt idx="49">
                  <c:v>2005.5</c:v>
                </c:pt>
                <c:pt idx="50">
                  <c:v>2005.5833333333333</c:v>
                </c:pt>
                <c:pt idx="51">
                  <c:v>2005.6666666666667</c:v>
                </c:pt>
                <c:pt idx="52">
                  <c:v>2005.75</c:v>
                </c:pt>
                <c:pt idx="53">
                  <c:v>2005.8333333333333</c:v>
                </c:pt>
                <c:pt idx="54">
                  <c:v>2005.9166666666667</c:v>
                </c:pt>
                <c:pt idx="55">
                  <c:v>2006</c:v>
                </c:pt>
                <c:pt idx="56">
                  <c:v>2006.0833333333333</c:v>
                </c:pt>
                <c:pt idx="57">
                  <c:v>2006.1666666666667</c:v>
                </c:pt>
                <c:pt idx="58">
                  <c:v>2008.6666666666667</c:v>
                </c:pt>
                <c:pt idx="59">
                  <c:v>2008.75</c:v>
                </c:pt>
                <c:pt idx="60">
                  <c:v>2008.8333333333333</c:v>
                </c:pt>
                <c:pt idx="61">
                  <c:v>2008.9166666666667</c:v>
                </c:pt>
                <c:pt idx="62">
                  <c:v>2009</c:v>
                </c:pt>
                <c:pt idx="63">
                  <c:v>2009.0833333333333</c:v>
                </c:pt>
                <c:pt idx="64">
                  <c:v>2009.1666666666667</c:v>
                </c:pt>
                <c:pt idx="65">
                  <c:v>2009.25</c:v>
                </c:pt>
                <c:pt idx="66">
                  <c:v>2009.3333333333333</c:v>
                </c:pt>
                <c:pt idx="67">
                  <c:v>2009.4166666666667</c:v>
                </c:pt>
                <c:pt idx="68">
                  <c:v>2009.5</c:v>
                </c:pt>
                <c:pt idx="69">
                  <c:v>2009.5833333333333</c:v>
                </c:pt>
                <c:pt idx="70">
                  <c:v>2009.6666666666667</c:v>
                </c:pt>
                <c:pt idx="71">
                  <c:v>2009.75</c:v>
                </c:pt>
                <c:pt idx="72">
                  <c:v>2009.8333333333333</c:v>
                </c:pt>
                <c:pt idx="73">
                  <c:v>2009.9166666666667</c:v>
                </c:pt>
                <c:pt idx="74">
                  <c:v>2010</c:v>
                </c:pt>
                <c:pt idx="75">
                  <c:v>2010.0833333333333</c:v>
                </c:pt>
                <c:pt idx="76">
                  <c:v>2010.1666666666667</c:v>
                </c:pt>
                <c:pt idx="77">
                  <c:v>2010.25</c:v>
                </c:pt>
                <c:pt idx="78">
                  <c:v>2010.3333333333333</c:v>
                </c:pt>
                <c:pt idx="79">
                  <c:v>2010.4166666666667</c:v>
                </c:pt>
                <c:pt idx="80">
                  <c:v>2010.5</c:v>
                </c:pt>
                <c:pt idx="81">
                  <c:v>2010.5833333333333</c:v>
                </c:pt>
                <c:pt idx="82">
                  <c:v>2010.6666666666667</c:v>
                </c:pt>
                <c:pt idx="83">
                  <c:v>2010.75</c:v>
                </c:pt>
                <c:pt idx="84">
                  <c:v>2010.8333333333333</c:v>
                </c:pt>
                <c:pt idx="85">
                  <c:v>2010.9166666666667</c:v>
                </c:pt>
                <c:pt idx="86">
                  <c:v>2011</c:v>
                </c:pt>
              </c:numCache>
            </c:numRef>
          </c:xVal>
          <c:yVal>
            <c:numRef>
              <c:f>'3.1 Early BF &amp; prelacteal'!$U$14:$U$100</c:f>
              <c:numCache>
                <c:formatCode>General</c:formatCode>
                <c:ptCount val="87"/>
                <c:pt idx="0">
                  <c:v>0.9789909</c:v>
                </c:pt>
                <c:pt idx="1">
                  <c:v>0.98276319999999995</c:v>
                </c:pt>
                <c:pt idx="2">
                  <c:v>0.92183649999999995</c:v>
                </c:pt>
                <c:pt idx="3">
                  <c:v>0.94566419999999995</c:v>
                </c:pt>
                <c:pt idx="4">
                  <c:v>0.94555979999999995</c:v>
                </c:pt>
                <c:pt idx="5">
                  <c:v>0.95098579999999999</c:v>
                </c:pt>
                <c:pt idx="6">
                  <c:v>0.91731929999999995</c:v>
                </c:pt>
                <c:pt idx="7">
                  <c:v>0.97680889999999998</c:v>
                </c:pt>
                <c:pt idx="8">
                  <c:v>0.96570460000000002</c:v>
                </c:pt>
                <c:pt idx="9">
                  <c:v>0.9707732</c:v>
                </c:pt>
                <c:pt idx="10">
                  <c:v>0.95852800000000005</c:v>
                </c:pt>
                <c:pt idx="11">
                  <c:v>0.93225049999999998</c:v>
                </c:pt>
                <c:pt idx="12">
                  <c:v>0.94222490000000003</c:v>
                </c:pt>
                <c:pt idx="13">
                  <c:v>0.93354720000000002</c:v>
                </c:pt>
                <c:pt idx="14">
                  <c:v>0.93831869999999995</c:v>
                </c:pt>
                <c:pt idx="15">
                  <c:v>0.95226299999999997</c:v>
                </c:pt>
                <c:pt idx="16">
                  <c:v>0.96346279999999995</c:v>
                </c:pt>
                <c:pt idx="17">
                  <c:v>0.94088919999999998</c:v>
                </c:pt>
                <c:pt idx="18">
                  <c:v>0.90083460000000004</c:v>
                </c:pt>
                <c:pt idx="19">
                  <c:v>0.93741450000000004</c:v>
                </c:pt>
                <c:pt idx="20">
                  <c:v>0.89740489999999995</c:v>
                </c:pt>
                <c:pt idx="21">
                  <c:v>0.92166400000000004</c:v>
                </c:pt>
                <c:pt idx="22">
                  <c:v>0.96944609999999998</c:v>
                </c:pt>
                <c:pt idx="23">
                  <c:v>0.93820269999999995</c:v>
                </c:pt>
                <c:pt idx="24">
                  <c:v>0.92033989999999999</c:v>
                </c:pt>
                <c:pt idx="25">
                  <c:v>0.94275799999999998</c:v>
                </c:pt>
                <c:pt idx="26">
                  <c:v>0.90362569999999998</c:v>
                </c:pt>
                <c:pt idx="27">
                  <c:v>0.73098180000000001</c:v>
                </c:pt>
                <c:pt idx="28">
                  <c:v>1</c:v>
                </c:pt>
                <c:pt idx="29">
                  <c:v>0.86116110000000001</c:v>
                </c:pt>
                <c:pt idx="30">
                  <c:v>0.82720450000000001</c:v>
                </c:pt>
                <c:pt idx="31">
                  <c:v>0.44654549999999998</c:v>
                </c:pt>
                <c:pt idx="32">
                  <c:v>0.61550640000000001</c:v>
                </c:pt>
                <c:pt idx="33">
                  <c:v>0.50933320000000004</c:v>
                </c:pt>
                <c:pt idx="34">
                  <c:v>0.68827760000000004</c:v>
                </c:pt>
                <c:pt idx="35">
                  <c:v>0.70239969999999996</c:v>
                </c:pt>
                <c:pt idx="36">
                  <c:v>0.471086</c:v>
                </c:pt>
                <c:pt idx="37">
                  <c:v>0.45887830000000002</c:v>
                </c:pt>
                <c:pt idx="38">
                  <c:v>0.5123721</c:v>
                </c:pt>
                <c:pt idx="39">
                  <c:v>0.52207630000000005</c:v>
                </c:pt>
                <c:pt idx="40">
                  <c:v>0.56631819999999999</c:v>
                </c:pt>
                <c:pt idx="41">
                  <c:v>0.3455532</c:v>
                </c:pt>
                <c:pt idx="42">
                  <c:v>0.49456169999999999</c:v>
                </c:pt>
                <c:pt idx="43">
                  <c:v>0.46485779999999999</c:v>
                </c:pt>
                <c:pt idx="44">
                  <c:v>0.47326849999999998</c:v>
                </c:pt>
                <c:pt idx="45">
                  <c:v>0.4899773</c:v>
                </c:pt>
                <c:pt idx="46">
                  <c:v>0.51863840000000005</c:v>
                </c:pt>
                <c:pt idx="47">
                  <c:v>0.41212100000000002</c:v>
                </c:pt>
                <c:pt idx="48">
                  <c:v>0.4214368</c:v>
                </c:pt>
                <c:pt idx="49">
                  <c:v>0.33113359999999997</c:v>
                </c:pt>
                <c:pt idx="50">
                  <c:v>0.38987270000000002</c:v>
                </c:pt>
                <c:pt idx="51">
                  <c:v>0.2847209</c:v>
                </c:pt>
                <c:pt idx="52">
                  <c:v>0.3378948</c:v>
                </c:pt>
                <c:pt idx="53">
                  <c:v>0.34953149999999999</c:v>
                </c:pt>
                <c:pt idx="54">
                  <c:v>0.32712289999999999</c:v>
                </c:pt>
                <c:pt idx="55">
                  <c:v>0.3740868</c:v>
                </c:pt>
                <c:pt idx="56">
                  <c:v>0.43218479999999998</c:v>
                </c:pt>
                <c:pt idx="57">
                  <c:v>0.36722450000000001</c:v>
                </c:pt>
                <c:pt idx="58">
                  <c:v>0.65086580000000005</c:v>
                </c:pt>
                <c:pt idx="59">
                  <c:v>0.1746933</c:v>
                </c:pt>
                <c:pt idx="60">
                  <c:v>8.9494000000000004E-2</c:v>
                </c:pt>
                <c:pt idx="61">
                  <c:v>0.22946420000000001</c:v>
                </c:pt>
                <c:pt idx="62">
                  <c:v>0.1015909</c:v>
                </c:pt>
                <c:pt idx="63">
                  <c:v>0.33270230000000001</c:v>
                </c:pt>
                <c:pt idx="64">
                  <c:v>0.11611390000000001</c:v>
                </c:pt>
                <c:pt idx="65">
                  <c:v>0.1753498</c:v>
                </c:pt>
                <c:pt idx="66">
                  <c:v>0.2202527</c:v>
                </c:pt>
                <c:pt idx="67">
                  <c:v>0.34408929999999999</c:v>
                </c:pt>
                <c:pt idx="68">
                  <c:v>0.15226529999999999</c:v>
                </c:pt>
                <c:pt idx="69">
                  <c:v>0.27211249999999998</c:v>
                </c:pt>
                <c:pt idx="70">
                  <c:v>0.26232040000000001</c:v>
                </c:pt>
                <c:pt idx="71">
                  <c:v>0.15312500000000001</c:v>
                </c:pt>
                <c:pt idx="72">
                  <c:v>0.24562610000000001</c:v>
                </c:pt>
                <c:pt idx="73">
                  <c:v>0.1694609</c:v>
                </c:pt>
                <c:pt idx="74">
                  <c:v>0.2356096</c:v>
                </c:pt>
                <c:pt idx="75">
                  <c:v>0.2739839</c:v>
                </c:pt>
                <c:pt idx="76">
                  <c:v>0.2743757</c:v>
                </c:pt>
                <c:pt idx="77">
                  <c:v>0.21447330000000001</c:v>
                </c:pt>
                <c:pt idx="78">
                  <c:v>0.34478049999999999</c:v>
                </c:pt>
                <c:pt idx="79">
                  <c:v>5.8940399999999997E-2</c:v>
                </c:pt>
                <c:pt idx="80">
                  <c:v>0.1075267</c:v>
                </c:pt>
                <c:pt idx="81">
                  <c:v>0.1920674</c:v>
                </c:pt>
                <c:pt idx="82">
                  <c:v>0.16514889999999999</c:v>
                </c:pt>
                <c:pt idx="83">
                  <c:v>0.24987309999999999</c:v>
                </c:pt>
                <c:pt idx="84">
                  <c:v>0.34240199999999998</c:v>
                </c:pt>
                <c:pt idx="85">
                  <c:v>0.16088769999999999</c:v>
                </c:pt>
                <c:pt idx="86">
                  <c:v>0.33250950000000001</c:v>
                </c:pt>
              </c:numCache>
            </c:numRef>
          </c:yVal>
          <c:smooth val="0"/>
        </c:ser>
        <c:dLbls>
          <c:showLegendKey val="0"/>
          <c:showVal val="0"/>
          <c:showCatName val="0"/>
          <c:showSerName val="0"/>
          <c:showPercent val="0"/>
          <c:showBubbleSize val="0"/>
        </c:dLbls>
        <c:axId val="265525504"/>
        <c:axId val="265531392"/>
      </c:scatterChart>
      <c:valAx>
        <c:axId val="265525504"/>
        <c:scaling>
          <c:orientation val="minMax"/>
        </c:scaling>
        <c:delete val="0"/>
        <c:axPos val="b"/>
        <c:numFmt formatCode="0" sourceLinked="1"/>
        <c:majorTickMark val="out"/>
        <c:minorTickMark val="none"/>
        <c:tickLblPos val="nextTo"/>
        <c:crossAx val="265531392"/>
        <c:crosses val="autoZero"/>
        <c:crossBetween val="midCat"/>
      </c:valAx>
      <c:valAx>
        <c:axId val="265531392"/>
        <c:scaling>
          <c:orientation val="minMax"/>
          <c:max val="1.1000000000000001"/>
        </c:scaling>
        <c:delete val="0"/>
        <c:axPos val="l"/>
        <c:numFmt formatCode="0%" sourceLinked="0"/>
        <c:majorTickMark val="out"/>
        <c:minorTickMark val="none"/>
        <c:tickLblPos val="nextTo"/>
        <c:crossAx val="265525504"/>
        <c:crosses val="autoZero"/>
        <c:crossBetween val="midCat"/>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0"/>
              <a:t>Percentage</a:t>
            </a:r>
            <a:r>
              <a:rPr lang="en-GB" sz="1200" b="0" baseline="0"/>
              <a:t> of children receiving food items by age, </a:t>
            </a:r>
            <a:r>
              <a:rPr lang="en-GB" sz="1200" b="0"/>
              <a:t>CDHS 2010</a:t>
            </a:r>
          </a:p>
        </c:rich>
      </c:tx>
      <c:overlay val="1"/>
    </c:title>
    <c:autoTitleDeleted val="0"/>
    <c:plotArea>
      <c:layout/>
      <c:lineChart>
        <c:grouping val="standard"/>
        <c:varyColors val="0"/>
        <c:ser>
          <c:idx val="0"/>
          <c:order val="0"/>
          <c:tx>
            <c:strRef>
              <c:f>'1c. Complementary foods'!$B$6</c:f>
              <c:strCache>
                <c:ptCount val="1"/>
                <c:pt idx="0">
                  <c:v>BF_curr</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foods'!$B$7:$B$18</c:f>
              <c:numCache>
                <c:formatCode>General</c:formatCode>
                <c:ptCount val="12"/>
                <c:pt idx="0">
                  <c:v>0.9807458</c:v>
                </c:pt>
                <c:pt idx="1">
                  <c:v>0.96806000000000003</c:v>
                </c:pt>
                <c:pt idx="2">
                  <c:v>0.95866079999999998</c:v>
                </c:pt>
                <c:pt idx="3">
                  <c:v>0.92355849999999995</c:v>
                </c:pt>
                <c:pt idx="4">
                  <c:v>0.95864470000000002</c:v>
                </c:pt>
                <c:pt idx="5">
                  <c:v>0.92519180000000001</c:v>
                </c:pt>
                <c:pt idx="6">
                  <c:v>0.87147989999999997</c:v>
                </c:pt>
                <c:pt idx="7">
                  <c:v>0.77743530000000005</c:v>
                </c:pt>
                <c:pt idx="8">
                  <c:v>0.74121009999999998</c:v>
                </c:pt>
                <c:pt idx="9">
                  <c:v>0.6317931</c:v>
                </c:pt>
                <c:pt idx="10">
                  <c:v>0.53028319999999995</c:v>
                </c:pt>
                <c:pt idx="11">
                  <c:v>0.33972869999999999</c:v>
                </c:pt>
              </c:numCache>
            </c:numRef>
          </c:val>
          <c:smooth val="0"/>
        </c:ser>
        <c:ser>
          <c:idx val="1"/>
          <c:order val="1"/>
          <c:tx>
            <c:strRef>
              <c:f>'1c. Complementary foods'!$C$6</c:f>
              <c:strCache>
                <c:ptCount val="1"/>
                <c:pt idx="0">
                  <c:v>Grains</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foods'!$C$7:$C$18</c:f>
              <c:numCache>
                <c:formatCode>General</c:formatCode>
                <c:ptCount val="12"/>
                <c:pt idx="0">
                  <c:v>7.2788999999999996E-3</c:v>
                </c:pt>
                <c:pt idx="1">
                  <c:v>8.0625000000000002E-3</c:v>
                </c:pt>
                <c:pt idx="2">
                  <c:v>0.14338890000000001</c:v>
                </c:pt>
                <c:pt idx="3">
                  <c:v>0.74259719999999996</c:v>
                </c:pt>
                <c:pt idx="4">
                  <c:v>0.91281979999999996</c:v>
                </c:pt>
                <c:pt idx="5">
                  <c:v>0.90838989999999997</c:v>
                </c:pt>
                <c:pt idx="6">
                  <c:v>0.95121880000000003</c:v>
                </c:pt>
                <c:pt idx="7">
                  <c:v>0.93648810000000005</c:v>
                </c:pt>
                <c:pt idx="8">
                  <c:v>0.95998839999999996</c:v>
                </c:pt>
                <c:pt idx="9">
                  <c:v>0.92088449999999999</c:v>
                </c:pt>
                <c:pt idx="10">
                  <c:v>0.94045559999999995</c:v>
                </c:pt>
                <c:pt idx="11">
                  <c:v>0.90394839999999999</c:v>
                </c:pt>
              </c:numCache>
            </c:numRef>
          </c:val>
          <c:smooth val="0"/>
        </c:ser>
        <c:ser>
          <c:idx val="2"/>
          <c:order val="2"/>
          <c:tx>
            <c:strRef>
              <c:f>'1c. Complementary foods'!$D$6</c:f>
              <c:strCache>
                <c:ptCount val="1"/>
                <c:pt idx="0">
                  <c:v>Legumes</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foods'!$D$7:$D$18</c:f>
              <c:numCache>
                <c:formatCode>General</c:formatCode>
                <c:ptCount val="12"/>
                <c:pt idx="0">
                  <c:v>4.4232999999999998E-3</c:v>
                </c:pt>
                <c:pt idx="1">
                  <c:v>2.6267E-3</c:v>
                </c:pt>
                <c:pt idx="2">
                  <c:v>0</c:v>
                </c:pt>
                <c:pt idx="3">
                  <c:v>4.7654799999999997E-2</c:v>
                </c:pt>
                <c:pt idx="4">
                  <c:v>2.5841099999999999E-2</c:v>
                </c:pt>
                <c:pt idx="5">
                  <c:v>6.7319299999999999E-2</c:v>
                </c:pt>
                <c:pt idx="6">
                  <c:v>6.2306599999999997E-2</c:v>
                </c:pt>
                <c:pt idx="7">
                  <c:v>7.5932399999999997E-2</c:v>
                </c:pt>
                <c:pt idx="8">
                  <c:v>0.1020105</c:v>
                </c:pt>
                <c:pt idx="9">
                  <c:v>4.2127199999999997E-2</c:v>
                </c:pt>
                <c:pt idx="10">
                  <c:v>9.5500199999999993E-2</c:v>
                </c:pt>
                <c:pt idx="11">
                  <c:v>0.10949390000000001</c:v>
                </c:pt>
              </c:numCache>
            </c:numRef>
          </c:val>
          <c:smooth val="0"/>
        </c:ser>
        <c:ser>
          <c:idx val="3"/>
          <c:order val="3"/>
          <c:tx>
            <c:strRef>
              <c:f>'1c. Complementary foods'!$E$6</c:f>
              <c:strCache>
                <c:ptCount val="1"/>
                <c:pt idx="0">
                  <c:v>Flesh</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foods'!$E$7:$E$18</c:f>
              <c:numCache>
                <c:formatCode>General</c:formatCode>
                <c:ptCount val="12"/>
                <c:pt idx="0">
                  <c:v>7.2788999999999996E-3</c:v>
                </c:pt>
                <c:pt idx="1">
                  <c:v>2.6267E-3</c:v>
                </c:pt>
                <c:pt idx="2">
                  <c:v>6.0910199999999998E-2</c:v>
                </c:pt>
                <c:pt idx="3">
                  <c:v>0.40477920000000001</c:v>
                </c:pt>
                <c:pt idx="4">
                  <c:v>0.710453</c:v>
                </c:pt>
                <c:pt idx="5">
                  <c:v>0.78900369999999997</c:v>
                </c:pt>
                <c:pt idx="6">
                  <c:v>0.87495579999999995</c:v>
                </c:pt>
                <c:pt idx="7">
                  <c:v>0.85118020000000005</c:v>
                </c:pt>
                <c:pt idx="8">
                  <c:v>0.89101790000000003</c:v>
                </c:pt>
                <c:pt idx="9">
                  <c:v>0.88396929999999996</c:v>
                </c:pt>
                <c:pt idx="10">
                  <c:v>0.92903279999999999</c:v>
                </c:pt>
                <c:pt idx="11">
                  <c:v>0.87287619999999999</c:v>
                </c:pt>
              </c:numCache>
            </c:numRef>
          </c:val>
          <c:smooth val="0"/>
        </c:ser>
        <c:ser>
          <c:idx val="4"/>
          <c:order val="4"/>
          <c:tx>
            <c:strRef>
              <c:f>'1c. Complementary foods'!$F$6</c:f>
              <c:strCache>
                <c:ptCount val="1"/>
                <c:pt idx="0">
                  <c:v>VitA</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foods'!$F$7:$F$18</c:f>
              <c:numCache>
                <c:formatCode>General</c:formatCode>
                <c:ptCount val="12"/>
                <c:pt idx="0">
                  <c:v>4.4232999999999998E-3</c:v>
                </c:pt>
                <c:pt idx="1">
                  <c:v>2.3568E-3</c:v>
                </c:pt>
                <c:pt idx="2">
                  <c:v>5.0425400000000002E-2</c:v>
                </c:pt>
                <c:pt idx="3">
                  <c:v>0.24747749999999999</c:v>
                </c:pt>
                <c:pt idx="4">
                  <c:v>0.48697109999999999</c:v>
                </c:pt>
                <c:pt idx="5">
                  <c:v>0.56902019999999998</c:v>
                </c:pt>
                <c:pt idx="6">
                  <c:v>0.62317650000000002</c:v>
                </c:pt>
                <c:pt idx="7">
                  <c:v>0.62914510000000001</c:v>
                </c:pt>
                <c:pt idx="8">
                  <c:v>0.69502819999999998</c:v>
                </c:pt>
                <c:pt idx="9">
                  <c:v>0.59629779999999999</c:v>
                </c:pt>
                <c:pt idx="10">
                  <c:v>0.74953789999999998</c:v>
                </c:pt>
                <c:pt idx="11">
                  <c:v>0.70949439999999997</c:v>
                </c:pt>
              </c:numCache>
            </c:numRef>
          </c:val>
          <c:smooth val="0"/>
        </c:ser>
        <c:ser>
          <c:idx val="5"/>
          <c:order val="5"/>
          <c:tx>
            <c:strRef>
              <c:f>'1c. Complementary foods'!$G$6</c:f>
              <c:strCache>
                <c:ptCount val="1"/>
                <c:pt idx="0">
                  <c:v>Other</c:v>
                </c:pt>
              </c:strCache>
            </c:strRef>
          </c:tx>
          <c:marker>
            <c:symbol val="none"/>
          </c:marker>
          <c:cat>
            <c:strRef>
              <c:f>'1c. Complementary foods'!$A$7:$A$18</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foods'!$G$7:$G$18</c:f>
              <c:numCache>
                <c:formatCode>General</c:formatCode>
                <c:ptCount val="12"/>
                <c:pt idx="0">
                  <c:v>4.4232999999999998E-3</c:v>
                </c:pt>
                <c:pt idx="1">
                  <c:v>0</c:v>
                </c:pt>
                <c:pt idx="2">
                  <c:v>1.0796099999999999E-2</c:v>
                </c:pt>
                <c:pt idx="3">
                  <c:v>7.8543199999999994E-2</c:v>
                </c:pt>
                <c:pt idx="4">
                  <c:v>0.1226037</c:v>
                </c:pt>
                <c:pt idx="5">
                  <c:v>0.14883460000000001</c:v>
                </c:pt>
                <c:pt idx="6">
                  <c:v>0.2130406</c:v>
                </c:pt>
                <c:pt idx="7">
                  <c:v>0.20852580000000001</c:v>
                </c:pt>
                <c:pt idx="8">
                  <c:v>0.24237139999999999</c:v>
                </c:pt>
                <c:pt idx="9">
                  <c:v>0.24043310000000001</c:v>
                </c:pt>
                <c:pt idx="10">
                  <c:v>0.2637467</c:v>
                </c:pt>
                <c:pt idx="11">
                  <c:v>0.2898037</c:v>
                </c:pt>
              </c:numCache>
            </c:numRef>
          </c:val>
          <c:smooth val="0"/>
        </c:ser>
        <c:dLbls>
          <c:showLegendKey val="0"/>
          <c:showVal val="0"/>
          <c:showCatName val="0"/>
          <c:showSerName val="0"/>
          <c:showPercent val="0"/>
          <c:showBubbleSize val="0"/>
        </c:dLbls>
        <c:marker val="1"/>
        <c:smooth val="0"/>
        <c:axId val="239960064"/>
        <c:axId val="239961600"/>
      </c:lineChart>
      <c:catAx>
        <c:axId val="239960064"/>
        <c:scaling>
          <c:orientation val="minMax"/>
        </c:scaling>
        <c:delete val="0"/>
        <c:axPos val="b"/>
        <c:majorTickMark val="out"/>
        <c:minorTickMark val="none"/>
        <c:tickLblPos val="nextTo"/>
        <c:crossAx val="239961600"/>
        <c:crosses val="autoZero"/>
        <c:auto val="1"/>
        <c:lblAlgn val="ctr"/>
        <c:lblOffset val="100"/>
        <c:noMultiLvlLbl val="0"/>
      </c:catAx>
      <c:valAx>
        <c:axId val="239961600"/>
        <c:scaling>
          <c:orientation val="minMax"/>
        </c:scaling>
        <c:delete val="0"/>
        <c:axPos val="l"/>
        <c:majorGridlines/>
        <c:numFmt formatCode="General" sourceLinked="1"/>
        <c:majorTickMark val="out"/>
        <c:minorTickMark val="none"/>
        <c:tickLblPos val="nextTo"/>
        <c:crossAx val="23996006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r>
              <a:rPr lang="en-GB" sz="1200" b="0" i="0" baseline="0">
                <a:effectLst/>
              </a:rPr>
              <a:t>Percentage of children receiving food items by age, </a:t>
            </a:r>
            <a:r>
              <a:rPr lang="en-GB" sz="1200" b="0"/>
              <a:t>CDHS 2005</a:t>
            </a:r>
          </a:p>
        </c:rich>
      </c:tx>
      <c:overlay val="1"/>
    </c:title>
    <c:autoTitleDeleted val="0"/>
    <c:plotArea>
      <c:layout/>
      <c:lineChart>
        <c:grouping val="standard"/>
        <c:varyColors val="0"/>
        <c:ser>
          <c:idx val="0"/>
          <c:order val="0"/>
          <c:tx>
            <c:strRef>
              <c:f>'1c. Complementary foods'!$B$23</c:f>
              <c:strCache>
                <c:ptCount val="1"/>
                <c:pt idx="0">
                  <c:v>BF_curr</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foods'!$B$24:$B$35</c:f>
              <c:numCache>
                <c:formatCode>General</c:formatCode>
                <c:ptCount val="12"/>
                <c:pt idx="0">
                  <c:v>0.99533579999999999</c:v>
                </c:pt>
                <c:pt idx="1">
                  <c:v>0.95168540000000001</c:v>
                </c:pt>
                <c:pt idx="2">
                  <c:v>0.95088349999999999</c:v>
                </c:pt>
                <c:pt idx="3">
                  <c:v>0.95235210000000003</c:v>
                </c:pt>
                <c:pt idx="4">
                  <c:v>0.96837399999999996</c:v>
                </c:pt>
                <c:pt idx="5">
                  <c:v>0.93938869999999997</c:v>
                </c:pt>
                <c:pt idx="6">
                  <c:v>0.91969250000000002</c:v>
                </c:pt>
                <c:pt idx="7">
                  <c:v>0.87153930000000002</c:v>
                </c:pt>
                <c:pt idx="8">
                  <c:v>0.826322</c:v>
                </c:pt>
                <c:pt idx="9">
                  <c:v>0.7175705</c:v>
                </c:pt>
                <c:pt idx="10">
                  <c:v>0.61067950000000004</c:v>
                </c:pt>
                <c:pt idx="11">
                  <c:v>0.46728690000000001</c:v>
                </c:pt>
              </c:numCache>
            </c:numRef>
          </c:val>
          <c:smooth val="0"/>
        </c:ser>
        <c:ser>
          <c:idx val="1"/>
          <c:order val="1"/>
          <c:tx>
            <c:strRef>
              <c:f>'1c. Complementary foods'!$C$23</c:f>
              <c:strCache>
                <c:ptCount val="1"/>
                <c:pt idx="0">
                  <c:v>Grains</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foods'!$C$24:$C$35</c:f>
              <c:numCache>
                <c:formatCode>General</c:formatCode>
                <c:ptCount val="12"/>
                <c:pt idx="0">
                  <c:v>5.0940999999999998E-3</c:v>
                </c:pt>
                <c:pt idx="1">
                  <c:v>2.6265899999999998E-2</c:v>
                </c:pt>
                <c:pt idx="2">
                  <c:v>9.2545799999999998E-2</c:v>
                </c:pt>
                <c:pt idx="3">
                  <c:v>0.45767570000000002</c:v>
                </c:pt>
                <c:pt idx="4">
                  <c:v>0.64488369999999995</c:v>
                </c:pt>
                <c:pt idx="5">
                  <c:v>0.77667660000000005</c:v>
                </c:pt>
                <c:pt idx="6">
                  <c:v>0.86497970000000002</c:v>
                </c:pt>
                <c:pt idx="7">
                  <c:v>0.91892949999999995</c:v>
                </c:pt>
                <c:pt idx="8">
                  <c:v>0.92642329999999995</c:v>
                </c:pt>
                <c:pt idx="9">
                  <c:v>0.91626989999999997</c:v>
                </c:pt>
                <c:pt idx="10">
                  <c:v>0.89480570000000004</c:v>
                </c:pt>
                <c:pt idx="11">
                  <c:v>0.90521580000000001</c:v>
                </c:pt>
              </c:numCache>
            </c:numRef>
          </c:val>
          <c:smooth val="0"/>
        </c:ser>
        <c:ser>
          <c:idx val="2"/>
          <c:order val="2"/>
          <c:tx>
            <c:strRef>
              <c:f>'1c. Complementary foods'!$D$23</c:f>
              <c:strCache>
                <c:ptCount val="1"/>
                <c:pt idx="0">
                  <c:v>Legumes</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foods'!$D$24:$D$35</c:f>
              <c:numCache>
                <c:formatCode>General</c:formatCode>
                <c:ptCount val="12"/>
                <c:pt idx="0">
                  <c:v>0</c:v>
                </c:pt>
                <c:pt idx="1">
                  <c:v>1.04285E-2</c:v>
                </c:pt>
                <c:pt idx="2">
                  <c:v>0</c:v>
                </c:pt>
                <c:pt idx="3">
                  <c:v>8.2527999999999994E-3</c:v>
                </c:pt>
                <c:pt idx="4">
                  <c:v>6.3952499999999995E-2</c:v>
                </c:pt>
                <c:pt idx="5">
                  <c:v>9.9509700000000006E-2</c:v>
                </c:pt>
                <c:pt idx="6">
                  <c:v>0.1264093</c:v>
                </c:pt>
                <c:pt idx="7">
                  <c:v>0.12640989999999999</c:v>
                </c:pt>
                <c:pt idx="8">
                  <c:v>0.14185919999999999</c:v>
                </c:pt>
                <c:pt idx="9">
                  <c:v>0.12131020000000001</c:v>
                </c:pt>
                <c:pt idx="10">
                  <c:v>0.1503439</c:v>
                </c:pt>
                <c:pt idx="11">
                  <c:v>0.1519124</c:v>
                </c:pt>
              </c:numCache>
            </c:numRef>
          </c:val>
          <c:smooth val="0"/>
        </c:ser>
        <c:ser>
          <c:idx val="3"/>
          <c:order val="3"/>
          <c:tx>
            <c:strRef>
              <c:f>'1c. Complementary foods'!$E$23</c:f>
              <c:strCache>
                <c:ptCount val="1"/>
                <c:pt idx="0">
                  <c:v>Flesh</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foods'!$E$24:$E$35</c:f>
              <c:numCache>
                <c:formatCode>General</c:formatCode>
                <c:ptCount val="12"/>
                <c:pt idx="0">
                  <c:v>3.3723E-3</c:v>
                </c:pt>
                <c:pt idx="1">
                  <c:v>2.83051E-2</c:v>
                </c:pt>
                <c:pt idx="2">
                  <c:v>4.4892899999999999E-2</c:v>
                </c:pt>
                <c:pt idx="3">
                  <c:v>0.34088449999999998</c:v>
                </c:pt>
                <c:pt idx="4">
                  <c:v>0.61735960000000001</c:v>
                </c:pt>
                <c:pt idx="5">
                  <c:v>0.79009209999999996</c:v>
                </c:pt>
                <c:pt idx="6">
                  <c:v>0.88631519999999997</c:v>
                </c:pt>
                <c:pt idx="7">
                  <c:v>0.90877390000000002</c:v>
                </c:pt>
                <c:pt idx="8">
                  <c:v>0.92392300000000005</c:v>
                </c:pt>
                <c:pt idx="9">
                  <c:v>0.90334460000000005</c:v>
                </c:pt>
                <c:pt idx="10">
                  <c:v>0.90763819999999995</c:v>
                </c:pt>
                <c:pt idx="11">
                  <c:v>0.89442880000000002</c:v>
                </c:pt>
              </c:numCache>
            </c:numRef>
          </c:val>
          <c:smooth val="0"/>
        </c:ser>
        <c:ser>
          <c:idx val="4"/>
          <c:order val="4"/>
          <c:tx>
            <c:strRef>
              <c:f>'1c. Complementary foods'!$F$23</c:f>
              <c:strCache>
                <c:ptCount val="1"/>
                <c:pt idx="0">
                  <c:v>VitA</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foods'!$F$24:$F$35</c:f>
              <c:numCache>
                <c:formatCode>General</c:formatCode>
                <c:ptCount val="12"/>
                <c:pt idx="0">
                  <c:v>3.3723E-3</c:v>
                </c:pt>
                <c:pt idx="1">
                  <c:v>2.16289E-2</c:v>
                </c:pt>
                <c:pt idx="2">
                  <c:v>1.46077E-2</c:v>
                </c:pt>
                <c:pt idx="3">
                  <c:v>0.16865089999999999</c:v>
                </c:pt>
                <c:pt idx="4">
                  <c:v>0.36778670000000002</c:v>
                </c:pt>
                <c:pt idx="5">
                  <c:v>0.55487410000000004</c:v>
                </c:pt>
                <c:pt idx="6">
                  <c:v>0.60730329999999999</c:v>
                </c:pt>
                <c:pt idx="7">
                  <c:v>0.53948819999999997</c:v>
                </c:pt>
                <c:pt idx="8">
                  <c:v>0.5789976</c:v>
                </c:pt>
                <c:pt idx="9">
                  <c:v>0.56964740000000003</c:v>
                </c:pt>
                <c:pt idx="10">
                  <c:v>0.5880495</c:v>
                </c:pt>
                <c:pt idx="11">
                  <c:v>0.68766369999999999</c:v>
                </c:pt>
              </c:numCache>
            </c:numRef>
          </c:val>
          <c:smooth val="0"/>
        </c:ser>
        <c:ser>
          <c:idx val="5"/>
          <c:order val="5"/>
          <c:tx>
            <c:strRef>
              <c:f>'1c. Complementary foods'!$G$23</c:f>
              <c:strCache>
                <c:ptCount val="1"/>
                <c:pt idx="0">
                  <c:v>Other</c:v>
                </c:pt>
              </c:strCache>
            </c:strRef>
          </c:tx>
          <c:marker>
            <c:symbol val="none"/>
          </c:marker>
          <c:cat>
            <c:strRef>
              <c:f>'1c. Complementary foods'!$A$24:$A$35</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'1c. Complementary foods'!$G$24:$G$35</c:f>
              <c:numCache>
                <c:formatCode>General</c:formatCode>
                <c:ptCount val="12"/>
                <c:pt idx="0">
                  <c:v>0</c:v>
                </c:pt>
                <c:pt idx="1">
                  <c:v>1.3781399999999999E-2</c:v>
                </c:pt>
                <c:pt idx="2">
                  <c:v>1.9824700000000001E-2</c:v>
                </c:pt>
                <c:pt idx="3">
                  <c:v>6.9085300000000002E-2</c:v>
                </c:pt>
                <c:pt idx="4">
                  <c:v>0.1926522</c:v>
                </c:pt>
                <c:pt idx="5">
                  <c:v>0.23982249999999999</c:v>
                </c:pt>
                <c:pt idx="6">
                  <c:v>0.24013109999999999</c:v>
                </c:pt>
                <c:pt idx="7">
                  <c:v>0.33964319999999998</c:v>
                </c:pt>
                <c:pt idx="8">
                  <c:v>0.32325680000000001</c:v>
                </c:pt>
                <c:pt idx="9">
                  <c:v>0.30977270000000001</c:v>
                </c:pt>
                <c:pt idx="10">
                  <c:v>0.28510629999999998</c:v>
                </c:pt>
                <c:pt idx="11">
                  <c:v>0.32845839999999998</c:v>
                </c:pt>
              </c:numCache>
            </c:numRef>
          </c:val>
          <c:smooth val="0"/>
        </c:ser>
        <c:dLbls>
          <c:showLegendKey val="0"/>
          <c:showVal val="0"/>
          <c:showCatName val="0"/>
          <c:showSerName val="0"/>
          <c:showPercent val="0"/>
          <c:showBubbleSize val="0"/>
        </c:dLbls>
        <c:marker val="1"/>
        <c:smooth val="0"/>
        <c:axId val="263857664"/>
        <c:axId val="263859200"/>
      </c:lineChart>
      <c:catAx>
        <c:axId val="263857664"/>
        <c:scaling>
          <c:orientation val="minMax"/>
        </c:scaling>
        <c:delete val="0"/>
        <c:axPos val="b"/>
        <c:majorTickMark val="out"/>
        <c:minorTickMark val="none"/>
        <c:tickLblPos val="nextTo"/>
        <c:crossAx val="263859200"/>
        <c:crosses val="autoZero"/>
        <c:auto val="1"/>
        <c:lblAlgn val="ctr"/>
        <c:lblOffset val="100"/>
        <c:noMultiLvlLbl val="0"/>
      </c:catAx>
      <c:valAx>
        <c:axId val="263859200"/>
        <c:scaling>
          <c:orientation val="minMax"/>
        </c:scaling>
        <c:delete val="0"/>
        <c:axPos val="l"/>
        <c:majorGridlines/>
        <c:numFmt formatCode="General" sourceLinked="1"/>
        <c:majorTickMark val="out"/>
        <c:minorTickMark val="none"/>
        <c:tickLblPos val="nextTo"/>
        <c:crossAx val="263857664"/>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Formula</a:t>
            </a:r>
            <a:r>
              <a:rPr lang="en-GB" sz="1100" baseline="0"/>
              <a:t> Use by Age (mos)</a:t>
            </a:r>
          </a:p>
          <a:p>
            <a:pPr>
              <a:defRPr sz="1100"/>
            </a:pPr>
            <a:r>
              <a:rPr lang="en-GB" sz="1100" b="0" baseline="0"/>
              <a:t>CDHS 2010</a:t>
            </a:r>
            <a:endParaRPr lang="en-GB" sz="1100" b="0"/>
          </a:p>
        </c:rich>
      </c:tx>
      <c:overlay val="1"/>
    </c:title>
    <c:autoTitleDeleted val="0"/>
    <c:plotArea>
      <c:layout/>
      <c:lineChart>
        <c:grouping val="standard"/>
        <c:varyColors val="0"/>
        <c:ser>
          <c:idx val="0"/>
          <c:order val="0"/>
          <c:tx>
            <c:strRef>
              <c:f>'3.2 Formula extra'!$C$4</c:f>
              <c:strCache>
                <c:ptCount val="1"/>
                <c:pt idx="0">
                  <c:v>Urban</c:v>
                </c:pt>
              </c:strCache>
            </c:strRef>
          </c:tx>
          <c:marker>
            <c:symbol val="none"/>
          </c:marker>
          <c:cat>
            <c:strRef>
              <c:f>'3.2 Formula extra'!$A$5:$A$16</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'3.2 Formula extra'!$C$5:$C$16</c:f>
              <c:numCache>
                <c:formatCode>General</c:formatCode>
                <c:ptCount val="12"/>
                <c:pt idx="0">
                  <c:v>7.1713799999999994E-2</c:v>
                </c:pt>
                <c:pt idx="1">
                  <c:v>0.1420363</c:v>
                </c:pt>
                <c:pt idx="2">
                  <c:v>0.2795936</c:v>
                </c:pt>
                <c:pt idx="3">
                  <c:v>0.25737979999999999</c:v>
                </c:pt>
                <c:pt idx="4">
                  <c:v>0.2272979</c:v>
                </c:pt>
                <c:pt idx="5">
                  <c:v>0.16574649999999999</c:v>
                </c:pt>
                <c:pt idx="6">
                  <c:v>0.32326700000000003</c:v>
                </c:pt>
                <c:pt idx="7">
                  <c:v>0.26972629999999997</c:v>
                </c:pt>
                <c:pt idx="8">
                  <c:v>0.29204570000000002</c:v>
                </c:pt>
                <c:pt idx="9">
                  <c:v>0.22959950000000001</c:v>
                </c:pt>
                <c:pt idx="10">
                  <c:v>0.19170319999999999</c:v>
                </c:pt>
                <c:pt idx="11">
                  <c:v>0.19002279999999999</c:v>
                </c:pt>
              </c:numCache>
            </c:numRef>
          </c:val>
          <c:smooth val="0"/>
        </c:ser>
        <c:ser>
          <c:idx val="1"/>
          <c:order val="1"/>
          <c:tx>
            <c:strRef>
              <c:f>'3.2 Formula extra'!$D$4</c:f>
              <c:strCache>
                <c:ptCount val="1"/>
                <c:pt idx="0">
                  <c:v>Rural</c:v>
                </c:pt>
              </c:strCache>
            </c:strRef>
          </c:tx>
          <c:marker>
            <c:symbol val="none"/>
          </c:marker>
          <c:cat>
            <c:strRef>
              <c:f>'3.2 Formula extra'!$A$5:$A$16</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'3.2 Formula extra'!$D$5:$D$16</c:f>
              <c:numCache>
                <c:formatCode>General</c:formatCode>
                <c:ptCount val="12"/>
                <c:pt idx="0">
                  <c:v>3.3052900000000003E-2</c:v>
                </c:pt>
                <c:pt idx="1">
                  <c:v>4.08863E-2</c:v>
                </c:pt>
                <c:pt idx="2">
                  <c:v>3.4675200000000003E-2</c:v>
                </c:pt>
                <c:pt idx="3">
                  <c:v>5.1635199999999999E-2</c:v>
                </c:pt>
                <c:pt idx="4">
                  <c:v>3.5206500000000002E-2</c:v>
                </c:pt>
                <c:pt idx="5">
                  <c:v>5.2331299999999997E-2</c:v>
                </c:pt>
                <c:pt idx="6">
                  <c:v>5.9748099999999998E-2</c:v>
                </c:pt>
                <c:pt idx="7">
                  <c:v>4.0290699999999999E-2</c:v>
                </c:pt>
                <c:pt idx="8">
                  <c:v>3.7451900000000003E-2</c:v>
                </c:pt>
                <c:pt idx="9">
                  <c:v>2.86E-2</c:v>
                </c:pt>
                <c:pt idx="10">
                  <c:v>3.1024699999999999E-2</c:v>
                </c:pt>
                <c:pt idx="11">
                  <c:v>2.40719E-2</c:v>
                </c:pt>
              </c:numCache>
            </c:numRef>
          </c:val>
          <c:smooth val="0"/>
        </c:ser>
        <c:ser>
          <c:idx val="2"/>
          <c:order val="2"/>
          <c:tx>
            <c:v>Total</c:v>
          </c:tx>
          <c:spPr>
            <a:ln>
              <a:solidFill>
                <a:schemeClr val="bg1">
                  <a:lumMod val="75000"/>
                </a:schemeClr>
              </a:solidFill>
            </a:ln>
          </c:spPr>
          <c:marker>
            <c:symbol val="none"/>
          </c:marker>
          <c:val>
            <c:numRef>
              <c:f>'3.2 Formula extra'!$B$5:$B$16</c:f>
              <c:numCache>
                <c:formatCode>General</c:formatCode>
                <c:ptCount val="12"/>
                <c:pt idx="0">
                  <c:v>3.7774700000000001E-2</c:v>
                </c:pt>
                <c:pt idx="1">
                  <c:v>5.7018399999999997E-2</c:v>
                </c:pt>
                <c:pt idx="2">
                  <c:v>7.0958999999999994E-2</c:v>
                </c:pt>
                <c:pt idx="3">
                  <c:v>7.65763E-2</c:v>
                </c:pt>
                <c:pt idx="4">
                  <c:v>6.4162899999999995E-2</c:v>
                </c:pt>
                <c:pt idx="5">
                  <c:v>7.0814600000000005E-2</c:v>
                </c:pt>
                <c:pt idx="6">
                  <c:v>9.6103300000000003E-2</c:v>
                </c:pt>
                <c:pt idx="7">
                  <c:v>8.1285399999999994E-2</c:v>
                </c:pt>
                <c:pt idx="8">
                  <c:v>7.6104599999999994E-2</c:v>
                </c:pt>
                <c:pt idx="9">
                  <c:v>5.5408699999999998E-2</c:v>
                </c:pt>
                <c:pt idx="10">
                  <c:v>5.2731800000000002E-2</c:v>
                </c:pt>
                <c:pt idx="11">
                  <c:v>5.05648E-2</c:v>
                </c:pt>
              </c:numCache>
            </c:numRef>
          </c:val>
          <c:smooth val="0"/>
        </c:ser>
        <c:dLbls>
          <c:showLegendKey val="0"/>
          <c:showVal val="0"/>
          <c:showCatName val="0"/>
          <c:showSerName val="0"/>
          <c:showPercent val="0"/>
          <c:showBubbleSize val="0"/>
        </c:dLbls>
        <c:marker val="1"/>
        <c:smooth val="0"/>
        <c:axId val="239756032"/>
        <c:axId val="239757568"/>
      </c:lineChart>
      <c:catAx>
        <c:axId val="239756032"/>
        <c:scaling>
          <c:orientation val="minMax"/>
        </c:scaling>
        <c:delete val="0"/>
        <c:axPos val="b"/>
        <c:majorTickMark val="out"/>
        <c:minorTickMark val="none"/>
        <c:tickLblPos val="nextTo"/>
        <c:crossAx val="239757568"/>
        <c:crosses val="autoZero"/>
        <c:auto val="1"/>
        <c:lblAlgn val="ctr"/>
        <c:lblOffset val="100"/>
        <c:noMultiLvlLbl val="0"/>
      </c:catAx>
      <c:valAx>
        <c:axId val="239757568"/>
        <c:scaling>
          <c:orientation val="minMax"/>
          <c:max val="0.4"/>
        </c:scaling>
        <c:delete val="0"/>
        <c:axPos val="l"/>
        <c:numFmt formatCode="General" sourceLinked="1"/>
        <c:majorTickMark val="out"/>
        <c:minorTickMark val="none"/>
        <c:tickLblPos val="nextTo"/>
        <c:crossAx val="23975603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Formula Use</a:t>
            </a:r>
            <a:r>
              <a:rPr lang="en-GB" sz="1100" baseline="0"/>
              <a:t> by Age (mos)</a:t>
            </a:r>
          </a:p>
          <a:p>
            <a:pPr>
              <a:defRPr sz="1100"/>
            </a:pPr>
            <a:r>
              <a:rPr lang="en-GB" sz="1100" b="0" baseline="0"/>
              <a:t>CDHS 2010</a:t>
            </a:r>
            <a:endParaRPr lang="en-GB" sz="1100" b="0"/>
          </a:p>
        </c:rich>
      </c:tx>
      <c:layout>
        <c:manualLayout>
          <c:xMode val="edge"/>
          <c:yMode val="edge"/>
          <c:x val="0.2053480866758875"/>
          <c:y val="2.7777777777777776E-2"/>
        </c:manualLayout>
      </c:layout>
      <c:overlay val="1"/>
    </c:title>
    <c:autoTitleDeleted val="0"/>
    <c:plotArea>
      <c:layout/>
      <c:lineChart>
        <c:grouping val="standard"/>
        <c:varyColors val="0"/>
        <c:ser>
          <c:idx val="0"/>
          <c:order val="0"/>
          <c:tx>
            <c:strRef>
              <c:f>'3.2 Formula extra'!$E$4</c:f>
              <c:strCache>
                <c:ptCount val="1"/>
                <c:pt idx="0">
                  <c:v>Q5</c:v>
                </c:pt>
              </c:strCache>
            </c:strRef>
          </c:tx>
          <c:marker>
            <c:symbol val="none"/>
          </c:marker>
          <c:cat>
            <c:strRef>
              <c:f>'3.2 Formula extra'!$A$5:$A$16</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'3.2 Formula extra'!$E$5:$E$16</c:f>
              <c:numCache>
                <c:formatCode>General</c:formatCode>
                <c:ptCount val="12"/>
                <c:pt idx="0">
                  <c:v>0.1364081</c:v>
                </c:pt>
                <c:pt idx="1">
                  <c:v>0.2110832</c:v>
                </c:pt>
                <c:pt idx="2">
                  <c:v>0.24164840000000001</c:v>
                </c:pt>
                <c:pt idx="3">
                  <c:v>0.28141959999999999</c:v>
                </c:pt>
                <c:pt idx="4">
                  <c:v>0.257907</c:v>
                </c:pt>
                <c:pt idx="5">
                  <c:v>0.23968049999999999</c:v>
                </c:pt>
                <c:pt idx="6">
                  <c:v>0.36971809999999999</c:v>
                </c:pt>
                <c:pt idx="7">
                  <c:v>0.30907649999999998</c:v>
                </c:pt>
                <c:pt idx="8">
                  <c:v>0.28690640000000001</c:v>
                </c:pt>
                <c:pt idx="9">
                  <c:v>0.27160489999999998</c:v>
                </c:pt>
                <c:pt idx="10">
                  <c:v>0.29636210000000002</c:v>
                </c:pt>
                <c:pt idx="11">
                  <c:v>0.23183899999999999</c:v>
                </c:pt>
              </c:numCache>
            </c:numRef>
          </c:val>
          <c:smooth val="0"/>
        </c:ser>
        <c:ser>
          <c:idx val="1"/>
          <c:order val="1"/>
          <c:tx>
            <c:strRef>
              <c:f>'3.2 Formula extra'!$F$4</c:f>
              <c:strCache>
                <c:ptCount val="1"/>
                <c:pt idx="0">
                  <c:v>Q1</c:v>
                </c:pt>
              </c:strCache>
            </c:strRef>
          </c:tx>
          <c:marker>
            <c:symbol val="none"/>
          </c:marker>
          <c:cat>
            <c:strRef>
              <c:f>'3.2 Formula extra'!$A$5:$A$16</c:f>
              <c:strCache>
                <c:ptCount val="12"/>
                <c:pt idx="0">
                  <c:v>0-1</c:v>
                </c:pt>
                <c:pt idx="1">
                  <c:v>2-3</c:v>
                </c:pt>
                <c:pt idx="2">
                  <c:v>4-5</c:v>
                </c:pt>
                <c:pt idx="3">
                  <c:v>6-7</c:v>
                </c:pt>
                <c:pt idx="4">
                  <c:v>8-9</c:v>
                </c:pt>
                <c:pt idx="5">
                  <c:v>10-11</c:v>
                </c:pt>
                <c:pt idx="6">
                  <c:v>12-13</c:v>
                </c:pt>
                <c:pt idx="7">
                  <c:v>14-15</c:v>
                </c:pt>
                <c:pt idx="8">
                  <c:v>16-17</c:v>
                </c:pt>
                <c:pt idx="9">
                  <c:v>18-19</c:v>
                </c:pt>
                <c:pt idx="10">
                  <c:v>20-21</c:v>
                </c:pt>
                <c:pt idx="11">
                  <c:v>22-23</c:v>
                </c:pt>
              </c:strCache>
            </c:strRef>
          </c:cat>
          <c:val>
            <c:numRef>
              <c:f>'3.2 Formula extra'!$F$5:$F$16</c:f>
              <c:numCache>
                <c:formatCode>General</c:formatCode>
                <c:ptCount val="12"/>
                <c:pt idx="1">
                  <c:v>7.8472000000000004E-3</c:v>
                </c:pt>
                <c:pt idx="2">
                  <c:v>1.07595E-2</c:v>
                </c:pt>
                <c:pt idx="3">
                  <c:v>7.5582000000000002E-3</c:v>
                </c:pt>
                <c:pt idx="4">
                  <c:v>8.6105000000000001E-3</c:v>
                </c:pt>
                <c:pt idx="5">
                  <c:v>1.27942E-2</c:v>
                </c:pt>
                <c:pt idx="6">
                  <c:v>1.3925399999999999E-2</c:v>
                </c:pt>
                <c:pt idx="7">
                  <c:v>1.32224E-2</c:v>
                </c:pt>
                <c:pt idx="8">
                  <c:v>3.4832999999999999E-3</c:v>
                </c:pt>
                <c:pt idx="9">
                  <c:v>6.7713000000000001E-3</c:v>
                </c:pt>
                <c:pt idx="10">
                  <c:v>9.3728000000000006E-3</c:v>
                </c:pt>
              </c:numCache>
            </c:numRef>
          </c:val>
          <c:smooth val="0"/>
        </c:ser>
        <c:ser>
          <c:idx val="2"/>
          <c:order val="2"/>
          <c:tx>
            <c:v>Total</c:v>
          </c:tx>
          <c:spPr>
            <a:ln>
              <a:solidFill>
                <a:schemeClr val="bg1">
                  <a:lumMod val="65000"/>
                </a:schemeClr>
              </a:solidFill>
            </a:ln>
          </c:spPr>
          <c:marker>
            <c:symbol val="none"/>
          </c:marker>
          <c:val>
            <c:numRef>
              <c:f>'3.2 Formula extra'!$B$5:$B$16</c:f>
              <c:numCache>
                <c:formatCode>General</c:formatCode>
                <c:ptCount val="12"/>
                <c:pt idx="0">
                  <c:v>3.7774700000000001E-2</c:v>
                </c:pt>
                <c:pt idx="1">
                  <c:v>5.7018399999999997E-2</c:v>
                </c:pt>
                <c:pt idx="2">
                  <c:v>7.0958999999999994E-2</c:v>
                </c:pt>
                <c:pt idx="3">
                  <c:v>7.65763E-2</c:v>
                </c:pt>
                <c:pt idx="4">
                  <c:v>6.4162899999999995E-2</c:v>
                </c:pt>
                <c:pt idx="5">
                  <c:v>7.0814600000000005E-2</c:v>
                </c:pt>
                <c:pt idx="6">
                  <c:v>9.6103300000000003E-2</c:v>
                </c:pt>
                <c:pt idx="7">
                  <c:v>8.1285399999999994E-2</c:v>
                </c:pt>
                <c:pt idx="8">
                  <c:v>7.6104599999999994E-2</c:v>
                </c:pt>
                <c:pt idx="9">
                  <c:v>5.5408699999999998E-2</c:v>
                </c:pt>
                <c:pt idx="10">
                  <c:v>5.2731800000000002E-2</c:v>
                </c:pt>
                <c:pt idx="11">
                  <c:v>5.05648E-2</c:v>
                </c:pt>
              </c:numCache>
            </c:numRef>
          </c:val>
          <c:smooth val="0"/>
        </c:ser>
        <c:dLbls>
          <c:showLegendKey val="0"/>
          <c:showVal val="0"/>
          <c:showCatName val="0"/>
          <c:showSerName val="0"/>
          <c:showPercent val="0"/>
          <c:showBubbleSize val="0"/>
        </c:dLbls>
        <c:marker val="1"/>
        <c:smooth val="0"/>
        <c:axId val="246329344"/>
        <c:axId val="246330880"/>
      </c:lineChart>
      <c:catAx>
        <c:axId val="246329344"/>
        <c:scaling>
          <c:orientation val="minMax"/>
        </c:scaling>
        <c:delete val="0"/>
        <c:axPos val="b"/>
        <c:majorTickMark val="out"/>
        <c:minorTickMark val="none"/>
        <c:tickLblPos val="nextTo"/>
        <c:crossAx val="246330880"/>
        <c:crosses val="autoZero"/>
        <c:auto val="1"/>
        <c:lblAlgn val="ctr"/>
        <c:lblOffset val="100"/>
        <c:noMultiLvlLbl val="0"/>
      </c:catAx>
      <c:valAx>
        <c:axId val="246330880"/>
        <c:scaling>
          <c:orientation val="minMax"/>
        </c:scaling>
        <c:delete val="0"/>
        <c:axPos val="l"/>
        <c:numFmt formatCode="General" sourceLinked="1"/>
        <c:majorTickMark val="out"/>
        <c:minorTickMark val="none"/>
        <c:tickLblPos val="nextTo"/>
        <c:crossAx val="2463293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'1a. Underwt by urban poor'!$A$27</c:f>
              <c:strCache>
                <c:ptCount val="1"/>
                <c:pt idx="0">
                  <c:v>UrbanQ1</c:v>
                </c:pt>
              </c:strCache>
            </c:strRef>
          </c:tx>
          <c:cat>
            <c:numRef>
              <c:f>'1a. Underwt by urban poor'!$B$3:$D$3</c:f>
              <c:numCache>
                <c:formatCode>General</c:formatCode>
                <c:ptCount val="3"/>
                <c:pt idx="0">
                  <c:v>2000</c:v>
                </c:pt>
                <c:pt idx="1">
                  <c:v>2005</c:v>
                </c:pt>
                <c:pt idx="2">
                  <c:v>2010</c:v>
                </c:pt>
              </c:numCache>
            </c:numRef>
          </c:cat>
          <c:val>
            <c:numRef>
              <c:f>'1a. Underwt by urban poor'!$B$27:$D$27</c:f>
              <c:numCache>
                <c:formatCode>General</c:formatCode>
                <c:ptCount val="3"/>
                <c:pt idx="0">
                  <c:v>-1.83</c:v>
                </c:pt>
                <c:pt idx="1">
                  <c:v>-1.79</c:v>
                </c:pt>
                <c:pt idx="2">
                  <c:v>-1.44</c:v>
                </c:pt>
              </c:numCache>
            </c:numRef>
          </c:val>
          <c:smooth val="0"/>
        </c:ser>
        <c:ser>
          <c:idx val="1"/>
          <c:order val="1"/>
          <c:tx>
            <c:strRef>
              <c:f>'1a. Underwt by urban poor'!$A$28</c:f>
              <c:strCache>
                <c:ptCount val="1"/>
                <c:pt idx="0">
                  <c:v>UrbanQ2</c:v>
                </c:pt>
              </c:strCache>
            </c:strRef>
          </c:tx>
          <c:cat>
            <c:numRef>
              <c:f>'1a. Underwt by urban poor'!$B$3:$D$3</c:f>
              <c:numCache>
                <c:formatCode>General</c:formatCode>
                <c:ptCount val="3"/>
                <c:pt idx="0">
                  <c:v>2000</c:v>
                </c:pt>
                <c:pt idx="1">
                  <c:v>2005</c:v>
                </c:pt>
                <c:pt idx="2">
                  <c:v>2010</c:v>
                </c:pt>
              </c:numCache>
            </c:numRef>
          </c:cat>
          <c:val>
            <c:numRef>
              <c:f>'1a. Underwt by urban poor'!$B$28:$D$28</c:f>
              <c:numCache>
                <c:formatCode>General</c:formatCode>
                <c:ptCount val="3"/>
                <c:pt idx="0">
                  <c:v>-1.97</c:v>
                </c:pt>
                <c:pt idx="1">
                  <c:v>-1.78</c:v>
                </c:pt>
                <c:pt idx="2">
                  <c:v>-1.54</c:v>
                </c:pt>
              </c:numCache>
            </c:numRef>
          </c:val>
          <c:smooth val="0"/>
        </c:ser>
        <c:ser>
          <c:idx val="2"/>
          <c:order val="2"/>
          <c:tx>
            <c:strRef>
              <c:f>'1a. Underwt by urban poor'!$A$29</c:f>
              <c:strCache>
                <c:ptCount val="1"/>
                <c:pt idx="0">
                  <c:v>UrbanQ3</c:v>
                </c:pt>
              </c:strCache>
            </c:strRef>
          </c:tx>
          <c:cat>
            <c:numRef>
              <c:f>'1a. Underwt by urban poor'!$B$3:$D$3</c:f>
              <c:numCache>
                <c:formatCode>General</c:formatCode>
                <c:ptCount val="3"/>
                <c:pt idx="0">
                  <c:v>2000</c:v>
                </c:pt>
                <c:pt idx="1">
                  <c:v>2005</c:v>
                </c:pt>
                <c:pt idx="2">
                  <c:v>2010</c:v>
                </c:pt>
              </c:numCache>
            </c:numRef>
          </c:cat>
          <c:val>
            <c:numRef>
              <c:f>'1a. Underwt by urban poor'!$B$29:$D$29</c:f>
              <c:numCache>
                <c:formatCode>General</c:formatCode>
                <c:ptCount val="3"/>
                <c:pt idx="0">
                  <c:v>-1.71</c:v>
                </c:pt>
                <c:pt idx="1">
                  <c:v>-1.5</c:v>
                </c:pt>
                <c:pt idx="2">
                  <c:v>-1.61</c:v>
                </c:pt>
              </c:numCache>
            </c:numRef>
          </c:val>
          <c:smooth val="0"/>
        </c:ser>
        <c:ser>
          <c:idx val="3"/>
          <c:order val="3"/>
          <c:tx>
            <c:strRef>
              <c:f>'1a. Underwt by urban poor'!$A$30</c:f>
              <c:strCache>
                <c:ptCount val="1"/>
                <c:pt idx="0">
                  <c:v>UrbanQ4</c:v>
                </c:pt>
              </c:strCache>
            </c:strRef>
          </c:tx>
          <c:cat>
            <c:numRef>
              <c:f>'1a. Underwt by urban poor'!$B$3:$D$3</c:f>
              <c:numCache>
                <c:formatCode>General</c:formatCode>
                <c:ptCount val="3"/>
                <c:pt idx="0">
                  <c:v>2000</c:v>
                </c:pt>
                <c:pt idx="1">
                  <c:v>2005</c:v>
                </c:pt>
                <c:pt idx="2">
                  <c:v>2010</c:v>
                </c:pt>
              </c:numCache>
            </c:numRef>
          </c:cat>
          <c:val>
            <c:numRef>
              <c:f>'1a. Underwt by urban poor'!$B$30:$D$30</c:f>
              <c:numCache>
                <c:formatCode>General</c:formatCode>
                <c:ptCount val="3"/>
                <c:pt idx="0">
                  <c:v>-1.46</c:v>
                </c:pt>
                <c:pt idx="1">
                  <c:v>-1.79</c:v>
                </c:pt>
                <c:pt idx="2">
                  <c:v>-1.22</c:v>
                </c:pt>
              </c:numCache>
            </c:numRef>
          </c:val>
          <c:smooth val="0"/>
        </c:ser>
        <c:ser>
          <c:idx val="4"/>
          <c:order val="4"/>
          <c:tx>
            <c:strRef>
              <c:f>'1a. Underwt by urban poor'!$A$31</c:f>
              <c:strCache>
                <c:ptCount val="1"/>
                <c:pt idx="0">
                  <c:v>UrbanQ5</c:v>
                </c:pt>
              </c:strCache>
            </c:strRef>
          </c:tx>
          <c:cat>
            <c:numRef>
              <c:f>'1a. Underwt by urban poor'!$B$3:$D$3</c:f>
              <c:numCache>
                <c:formatCode>General</c:formatCode>
                <c:ptCount val="3"/>
                <c:pt idx="0">
                  <c:v>2000</c:v>
                </c:pt>
                <c:pt idx="1">
                  <c:v>2005</c:v>
                </c:pt>
                <c:pt idx="2">
                  <c:v>2010</c:v>
                </c:pt>
              </c:numCache>
            </c:numRef>
          </c:cat>
          <c:val>
            <c:numRef>
              <c:f>'1a. Underwt by urban poor'!$B$31:$D$31</c:f>
              <c:numCache>
                <c:formatCode>General</c:formatCode>
                <c:ptCount val="3"/>
                <c:pt idx="0">
                  <c:v>-1.31</c:v>
                </c:pt>
                <c:pt idx="1">
                  <c:v>-0.93</c:v>
                </c:pt>
                <c:pt idx="2">
                  <c:v>-0.93</c:v>
                </c:pt>
              </c:numCache>
            </c:numRef>
          </c:val>
          <c:smooth val="0"/>
        </c:ser>
        <c:dLbls>
          <c:showLegendKey val="0"/>
          <c:showVal val="0"/>
          <c:showCatName val="0"/>
          <c:showSerName val="0"/>
          <c:showPercent val="0"/>
          <c:showBubbleSize val="0"/>
        </c:dLbls>
        <c:marker val="1"/>
        <c:smooth val="0"/>
        <c:axId val="265657728"/>
        <c:axId val="265659520"/>
      </c:lineChart>
      <c:catAx>
        <c:axId val="265657728"/>
        <c:scaling>
          <c:orientation val="minMax"/>
        </c:scaling>
        <c:delete val="0"/>
        <c:axPos val="b"/>
        <c:numFmt formatCode="General" sourceLinked="1"/>
        <c:majorTickMark val="out"/>
        <c:minorTickMark val="none"/>
        <c:tickLblPos val="nextTo"/>
        <c:crossAx val="265659520"/>
        <c:crosses val="autoZero"/>
        <c:auto val="1"/>
        <c:lblAlgn val="ctr"/>
        <c:lblOffset val="100"/>
        <c:noMultiLvlLbl val="0"/>
      </c:catAx>
      <c:valAx>
        <c:axId val="265659520"/>
        <c:scaling>
          <c:orientation val="minMax"/>
        </c:scaling>
        <c:delete val="0"/>
        <c:axPos val="l"/>
        <c:numFmt formatCode="General" sourceLinked="1"/>
        <c:majorTickMark val="out"/>
        <c:minorTickMark val="none"/>
        <c:tickLblPos val="nextTo"/>
        <c:crossAx val="2656577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TRENDS.xlsx]MATERNAL ANEMIA!PivotTable2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c:txPr>
            <a:bodyPr/>
            <a:lstStyle/>
            <a:p>
              <a:pPr>
                <a:defRPr/>
              </a:pPr>
              <a:endParaRPr lang="en-US"/>
            </a:p>
          </c:txPr>
          <c:showLegendKey val="0"/>
          <c:showVal val="1"/>
          <c:showCatName val="0"/>
          <c:showSerName val="0"/>
          <c:showPercent val="0"/>
          <c:showBubbleSize val="0"/>
        </c:dLbl>
      </c:pivotFmt>
      <c:pivotFmt>
        <c:idx val="10"/>
        <c:dLbl>
          <c:idx val="0"/>
          <c:spPr/>
          <c:txPr>
            <a:bodyPr/>
            <a:lstStyle/>
            <a:p>
              <a:pPr>
                <a:defRPr/>
              </a:pPr>
              <a:endParaRPr lang="en-US"/>
            </a:p>
          </c:txPr>
          <c:showLegendKey val="0"/>
          <c:showVal val="1"/>
          <c:showCatName val="0"/>
          <c:showSerName val="0"/>
          <c:showPercent val="0"/>
          <c:showBubbleSize val="0"/>
        </c:dLbl>
      </c:pivotFmt>
      <c:pivotFmt>
        <c:idx val="11"/>
        <c:dLbl>
          <c:idx val="0"/>
          <c:spPr/>
          <c:txPr>
            <a:bodyPr/>
            <a:lstStyle/>
            <a:p>
              <a:pPr>
                <a:defRPr/>
              </a:pPr>
              <a:endParaRPr lang="en-US"/>
            </a:p>
          </c:txPr>
          <c:showLegendKey val="0"/>
          <c:showVal val="1"/>
          <c:showCatName val="0"/>
          <c:showSerName val="0"/>
          <c:showPercent val="0"/>
          <c:showBubbleSize val="0"/>
        </c:dLbl>
      </c:pivotFmt>
      <c:pivotFmt>
        <c:idx val="12"/>
        <c:marker>
          <c:symbol val="none"/>
        </c:marker>
        <c:dLbl>
          <c:idx val="0"/>
          <c:spPr/>
          <c:txPr>
            <a:bodyPr/>
            <a:lstStyle/>
            <a:p>
              <a:pPr>
                <a:defRPr/>
              </a:pPr>
              <a:endParaRPr lang="en-US"/>
            </a:p>
          </c:txPr>
          <c:showLegendKey val="0"/>
          <c:showVal val="1"/>
          <c:showCatName val="0"/>
          <c:showSerName val="0"/>
          <c:showPercent val="0"/>
          <c:showBubbleSize val="0"/>
        </c:dLbl>
      </c:pivotFmt>
      <c:pivotFmt>
        <c:idx val="13"/>
        <c:marker>
          <c:symbol val="none"/>
        </c:marker>
        <c:dLbl>
          <c:idx val="0"/>
          <c:spPr/>
          <c:txPr>
            <a:bodyPr/>
            <a:lstStyle/>
            <a:p>
              <a:pPr>
                <a:defRPr/>
              </a:pPr>
              <a:endParaRPr lang="en-US"/>
            </a:p>
          </c:txPr>
          <c:showLegendKey val="0"/>
          <c:showVal val="1"/>
          <c:showCatName val="0"/>
          <c:showSerName val="0"/>
          <c:showPercent val="0"/>
          <c:showBubbleSize val="0"/>
        </c:dLbl>
      </c:pivotFmt>
      <c:pivotFmt>
        <c:idx val="14"/>
        <c:marker>
          <c:symbol val="none"/>
        </c:marker>
        <c:dLbl>
          <c:idx val="0"/>
          <c:spPr/>
          <c:txPr>
            <a:bodyPr/>
            <a:lstStyle/>
            <a:p>
              <a:pPr>
                <a:defRPr/>
              </a:pPr>
              <a:endParaRPr lang="en-US"/>
            </a:p>
          </c:txPr>
          <c:showLegendKey val="0"/>
          <c:showVal val="1"/>
          <c:showCatName val="0"/>
          <c:showSerName val="0"/>
          <c:showPercent val="0"/>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'MATERNAL ANEMIA'!$B$3:$B$4</c:f>
              <c:strCache>
                <c:ptCount val="1"/>
                <c:pt idx="0">
                  <c:v>CDHS 2000</c:v>
                </c:pt>
              </c:strCache>
            </c:strRef>
          </c:tx>
          <c:invertIfNegative val="0"/>
          <c:cat>
            <c:strRef>
              <c:f>'MATERNAL ANEMIA'!$A$5:$A$7</c:f>
              <c:strCache>
                <c:ptCount val="3"/>
                <c:pt idx="0">
                  <c:v>ANY ANEMIA</c:v>
                </c:pt>
                <c:pt idx="1">
                  <c:v>MODERATE ANEMIA</c:v>
                </c:pt>
                <c:pt idx="2">
                  <c:v>SEVERE ANEMIA</c:v>
                </c:pt>
              </c:strCache>
            </c:strRef>
          </c:cat>
          <c:val>
            <c:numRef>
              <c:f>'MATERNAL ANEMIA'!$B$5:$B$7</c:f>
              <c:numCache>
                <c:formatCode>General</c:formatCode>
                <c:ptCount val="3"/>
                <c:pt idx="0">
                  <c:v>57.8</c:v>
                </c:pt>
                <c:pt idx="1">
                  <c:v>12.7</c:v>
                </c:pt>
                <c:pt idx="2">
                  <c:v>1.3</c:v>
                </c:pt>
              </c:numCache>
            </c:numRef>
          </c:val>
        </c:ser>
        <c:ser>
          <c:idx val="1"/>
          <c:order val="1"/>
          <c:tx>
            <c:strRef>
              <c:f>'MATERNAL ANEMIA'!$C$3:$C$4</c:f>
              <c:strCache>
                <c:ptCount val="1"/>
                <c:pt idx="0">
                  <c:v>CDHS 2005</c:v>
                </c:pt>
              </c:strCache>
            </c:strRef>
          </c:tx>
          <c:invertIfNegative val="0"/>
          <c:cat>
            <c:strRef>
              <c:f>'MATERNAL ANEMIA'!$A$5:$A$7</c:f>
              <c:strCache>
                <c:ptCount val="3"/>
                <c:pt idx="0">
                  <c:v>ANY ANEMIA</c:v>
                </c:pt>
                <c:pt idx="1">
                  <c:v>MODERATE ANEMIA</c:v>
                </c:pt>
                <c:pt idx="2">
                  <c:v>SEVERE ANEMIA</c:v>
                </c:pt>
              </c:strCache>
            </c:strRef>
          </c:cat>
          <c:val>
            <c:numRef>
              <c:f>'MATERNAL ANEMIA'!$C$5:$C$7</c:f>
              <c:numCache>
                <c:formatCode>General</c:formatCode>
                <c:ptCount val="3"/>
                <c:pt idx="0">
                  <c:v>46.6</c:v>
                </c:pt>
                <c:pt idx="1">
                  <c:v>10.199999999999999</c:v>
                </c:pt>
                <c:pt idx="2">
                  <c:v>1</c:v>
                </c:pt>
              </c:numCache>
            </c:numRef>
          </c:val>
        </c:ser>
        <c:ser>
          <c:idx val="2"/>
          <c:order val="2"/>
          <c:tx>
            <c:strRef>
              <c:f>'MATERNAL ANEMIA'!$D$3:$D$4</c:f>
              <c:strCache>
                <c:ptCount val="1"/>
                <c:pt idx="0">
                  <c:v>CDHS 2010</c:v>
                </c:pt>
              </c:strCache>
            </c:strRef>
          </c:tx>
          <c:invertIfNegative val="0"/>
          <c:cat>
            <c:strRef>
              <c:f>'MATERNAL ANEMIA'!$A$5:$A$7</c:f>
              <c:strCache>
                <c:ptCount val="3"/>
                <c:pt idx="0">
                  <c:v>ANY ANEMIA</c:v>
                </c:pt>
                <c:pt idx="1">
                  <c:v>MODERATE ANEMIA</c:v>
                </c:pt>
                <c:pt idx="2">
                  <c:v>SEVERE ANEMIA</c:v>
                </c:pt>
              </c:strCache>
            </c:strRef>
          </c:cat>
          <c:val>
            <c:numRef>
              <c:f>'MATERNAL ANEMIA'!$D$5:$D$7</c:f>
              <c:numCache>
                <c:formatCode>General</c:formatCode>
                <c:ptCount val="3"/>
                <c:pt idx="0">
                  <c:v>44.4</c:v>
                </c:pt>
                <c:pt idx="1">
                  <c:v>7.3</c:v>
                </c:pt>
                <c:pt idx="2">
                  <c:v>0.4</c:v>
                </c:pt>
              </c:numCache>
            </c:numRef>
          </c:val>
        </c:ser>
        <c:dLbls>
          <c:showLegendKey val="0"/>
          <c:showVal val="1"/>
          <c:showCatName val="0"/>
          <c:showSerName val="0"/>
          <c:showPercent val="0"/>
          <c:showBubbleSize val="0"/>
        </c:dLbls>
        <c:gapWidth val="150"/>
        <c:overlap val="-25"/>
        <c:axId val="265712768"/>
        <c:axId val="265714304"/>
      </c:barChart>
      <c:catAx>
        <c:axId val="265712768"/>
        <c:scaling>
          <c:orientation val="minMax"/>
        </c:scaling>
        <c:delete val="0"/>
        <c:axPos val="b"/>
        <c:majorTickMark val="none"/>
        <c:minorTickMark val="none"/>
        <c:tickLblPos val="nextTo"/>
        <c:crossAx val="265714304"/>
        <c:crosses val="autoZero"/>
        <c:auto val="1"/>
        <c:lblAlgn val="ctr"/>
        <c:lblOffset val="100"/>
        <c:noMultiLvlLbl val="0"/>
      </c:catAx>
      <c:valAx>
        <c:axId val="265714304"/>
        <c:scaling>
          <c:orientation val="minMax"/>
        </c:scaling>
        <c:delete val="1"/>
        <c:axPos val="l"/>
        <c:numFmt formatCode="General" sourceLinked="1"/>
        <c:majorTickMark val="out"/>
        <c:minorTickMark val="none"/>
        <c:tickLblPos val="nextTo"/>
        <c:crossAx val="265712768"/>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[2011 NUTRITION HH SURVEY TRENDS.xlsx]Sheet4!PivotTable2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Sheet4!$B$3:$B$4</c:f>
              <c:strCache>
                <c:ptCount val="1"/>
                <c:pt idx="0">
                  <c:v>CDHS 2000</c:v>
                </c:pt>
              </c:strCache>
            </c:strRef>
          </c:tx>
          <c:invertIfNegative val="0"/>
          <c:cat>
            <c:strRef>
              <c:f>Sheet4!$A$5:$A$6</c:f>
              <c:strCache>
                <c:ptCount val="2"/>
                <c:pt idx="0">
                  <c:v>Breastfeeding Women</c:v>
                </c:pt>
                <c:pt idx="1">
                  <c:v>Pregnant Women</c:v>
                </c:pt>
              </c:strCache>
            </c:strRef>
          </c:cat>
          <c:val>
            <c:numRef>
              <c:f>Sheet4!$B$5:$B$6</c:f>
              <c:numCache>
                <c:formatCode>General</c:formatCode>
                <c:ptCount val="2"/>
                <c:pt idx="0">
                  <c:v>66.099999999999994</c:v>
                </c:pt>
                <c:pt idx="1">
                  <c:v>66.400000000000006</c:v>
                </c:pt>
              </c:numCache>
            </c:numRef>
          </c:val>
        </c:ser>
        <c:ser>
          <c:idx val="1"/>
          <c:order val="1"/>
          <c:tx>
            <c:strRef>
              <c:f>Sheet4!$C$3:$C$4</c:f>
              <c:strCache>
                <c:ptCount val="1"/>
                <c:pt idx="0">
                  <c:v>CDHS 2005</c:v>
                </c:pt>
              </c:strCache>
            </c:strRef>
          </c:tx>
          <c:invertIfNegative val="0"/>
          <c:cat>
            <c:strRef>
              <c:f>Sheet4!$A$5:$A$6</c:f>
              <c:strCache>
                <c:ptCount val="2"/>
                <c:pt idx="0">
                  <c:v>Breastfeeding Women</c:v>
                </c:pt>
                <c:pt idx="1">
                  <c:v>Pregnant Women</c:v>
                </c:pt>
              </c:strCache>
            </c:strRef>
          </c:cat>
          <c:val>
            <c:numRef>
              <c:f>Sheet4!$C$5:$C$6</c:f>
              <c:numCache>
                <c:formatCode>General</c:formatCode>
                <c:ptCount val="2"/>
                <c:pt idx="0">
                  <c:v>53.6</c:v>
                </c:pt>
                <c:pt idx="1">
                  <c:v>57.1</c:v>
                </c:pt>
              </c:numCache>
            </c:numRef>
          </c:val>
        </c:ser>
        <c:ser>
          <c:idx val="2"/>
          <c:order val="2"/>
          <c:tx>
            <c:strRef>
              <c:f>Sheet4!$D$3:$D$4</c:f>
              <c:strCache>
                <c:ptCount val="1"/>
                <c:pt idx="0">
                  <c:v>CDHS 2010</c:v>
                </c:pt>
              </c:strCache>
            </c:strRef>
          </c:tx>
          <c:invertIfNegative val="0"/>
          <c:cat>
            <c:strRef>
              <c:f>Sheet4!$A$5:$A$6</c:f>
              <c:strCache>
                <c:ptCount val="2"/>
                <c:pt idx="0">
                  <c:v>Breastfeeding Women</c:v>
                </c:pt>
                <c:pt idx="1">
                  <c:v>Pregnant Women</c:v>
                </c:pt>
              </c:strCache>
            </c:strRef>
          </c:cat>
          <c:val>
            <c:numRef>
              <c:f>Sheet4!$D$5:$D$6</c:f>
              <c:numCache>
                <c:formatCode>General</c:formatCode>
                <c:ptCount val="2"/>
                <c:pt idx="0">
                  <c:v>47.1</c:v>
                </c:pt>
                <c:pt idx="1">
                  <c:v>52.7</c:v>
                </c:pt>
              </c:numCache>
            </c:numRef>
          </c:val>
        </c:ser>
        <c:dLbls>
          <c:showLegendKey val="0"/>
          <c:showVal val="1"/>
          <c:showCatName val="0"/>
          <c:showSerName val="0"/>
          <c:showPercent val="0"/>
          <c:showBubbleSize val="0"/>
        </c:dLbls>
        <c:gapWidth val="150"/>
        <c:overlap val="-25"/>
        <c:axId val="265766400"/>
        <c:axId val="265767936"/>
      </c:barChart>
      <c:catAx>
        <c:axId val="265766400"/>
        <c:scaling>
          <c:orientation val="minMax"/>
        </c:scaling>
        <c:delete val="0"/>
        <c:axPos val="b"/>
        <c:majorTickMark val="none"/>
        <c:minorTickMark val="none"/>
        <c:tickLblPos val="nextTo"/>
        <c:crossAx val="265767936"/>
        <c:crosses val="autoZero"/>
        <c:auto val="1"/>
        <c:lblAlgn val="ctr"/>
        <c:lblOffset val="100"/>
        <c:noMultiLvlLbl val="0"/>
      </c:catAx>
      <c:valAx>
        <c:axId val="265767936"/>
        <c:scaling>
          <c:orientation val="minMax"/>
        </c:scaling>
        <c:delete val="1"/>
        <c:axPos val="l"/>
        <c:numFmt formatCode="General" sourceLinked="1"/>
        <c:majorTickMark val="out"/>
        <c:minorTickMark val="none"/>
        <c:tickLblPos val="nextTo"/>
        <c:crossAx val="265766400"/>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TRENDS.xlsx]EARLY INITIATION!PivotTable2</c:name>
    <c:fmtId val="-1"/>
  </c:pivotSource>
  <c:chart>
    <c:autoTitleDeleted val="1"/>
    <c:pivotFmts>
      <c:pivotFmt>
        <c:idx val="0"/>
        <c:marker>
          <c:symbol val="none"/>
        </c:marker>
      </c:pivotFmt>
      <c:pivotFmt>
        <c:idx val="1"/>
        <c:marker>
          <c:symbol val="none"/>
        </c:marker>
      </c:pivotFmt>
      <c:pivotFmt>
        <c:idx val="2"/>
        <c:marker>
          <c:symbol val="none"/>
        </c:marker>
        <c:dLbl>
          <c:idx val="0"/>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pivotFmt>
      <c:pivotFmt>
        <c:idx val="5"/>
        <c:marker>
          <c:symbol val="none"/>
        </c:marker>
        <c:dLbl>
          <c:idx val="0"/>
          <c:showLegendKey val="0"/>
          <c:showVal val="1"/>
          <c:showCatName val="0"/>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dLbl>
          <c:idx val="0"/>
          <c:showLegendKey val="0"/>
          <c:showVal val="1"/>
          <c:showCatName val="0"/>
          <c:showSerName val="0"/>
          <c:showPercent val="0"/>
          <c:showBubbleSize val="0"/>
        </c:dLbl>
      </c:pivotFmt>
      <c:pivotFmt>
        <c:idx val="14"/>
        <c:marker>
          <c:symbol val="none"/>
        </c:marker>
        <c:dLbl>
          <c:idx val="0"/>
          <c:spPr/>
          <c:txPr>
            <a:bodyPr/>
            <a:lstStyle/>
            <a:p>
              <a:pPr>
                <a:defRPr/>
              </a:pPr>
              <a:endParaRPr lang="en-US"/>
            </a:p>
          </c:txPr>
          <c:showLegendKey val="0"/>
          <c:showVal val="1"/>
          <c:showCatName val="0"/>
          <c:showSerName val="0"/>
          <c:showPercent val="0"/>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
        <c:idx val="18"/>
        <c:marker>
          <c:symbol val="none"/>
        </c:marker>
        <c:dLbl>
          <c:idx val="0"/>
          <c:spPr/>
          <c:txPr>
            <a:bodyPr/>
            <a:lstStyle/>
            <a:p>
              <a:pPr>
                <a:defRPr/>
              </a:pPr>
              <a:endParaRPr lang="en-US"/>
            </a:p>
          </c:txPr>
          <c:showLegendKey val="0"/>
          <c:showVal val="1"/>
          <c:showCatName val="0"/>
          <c:showSerName val="0"/>
          <c:showPercent val="0"/>
          <c:showBubbleSize val="0"/>
        </c:dLbl>
      </c:pivotFmt>
      <c:pivotFmt>
        <c:idx val="19"/>
        <c:marker>
          <c:symbol val="none"/>
        </c:marker>
        <c:dLbl>
          <c:idx val="0"/>
          <c:spPr/>
          <c:txPr>
            <a:bodyPr/>
            <a:lstStyle/>
            <a:p>
              <a:pPr>
                <a:defRPr/>
              </a:pPr>
              <a:endParaRPr lang="en-US"/>
            </a:p>
          </c:txPr>
          <c:showLegendKey val="0"/>
          <c:showVal val="1"/>
          <c:showCatName val="0"/>
          <c:showSerName val="0"/>
          <c:showPercent val="0"/>
          <c:showBubbleSize val="0"/>
        </c:dLbl>
      </c:pivotFmt>
      <c:pivotFmt>
        <c:idx val="20"/>
        <c:marker>
          <c:symbol val="none"/>
        </c:marker>
        <c:dLbl>
          <c:idx val="0"/>
          <c:spPr/>
          <c:txPr>
            <a:bodyPr/>
            <a:lstStyle/>
            <a:p>
              <a:pPr>
                <a:defRPr/>
              </a:pPr>
              <a:endParaRPr lang="en-US"/>
            </a:p>
          </c:txPr>
          <c:showLegendKey val="0"/>
          <c:showVal val="1"/>
          <c:showCatName val="0"/>
          <c:showSerName val="0"/>
          <c:showPercent val="0"/>
          <c:showBubbleSize val="0"/>
        </c:dLbl>
      </c:pivotFmt>
      <c:pivotFmt>
        <c:idx val="21"/>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'EARLY INITIATION'!$B$1:$B$2</c:f>
              <c:strCache>
                <c:ptCount val="1"/>
                <c:pt idx="0">
                  <c:v>CDHS 2000</c:v>
                </c:pt>
              </c:strCache>
            </c:strRef>
          </c:tx>
          <c:invertIfNegative val="0"/>
          <c:cat>
            <c:strRef>
              <c:f>'EARLY INITIATION'!$A$3:$A$4</c:f>
              <c:strCache>
                <c:ptCount val="2"/>
                <c:pt idx="0">
                  <c:v>Breastfeeding within 1 day</c:v>
                </c:pt>
                <c:pt idx="1">
                  <c:v>Breastfeeding within 1 hour</c:v>
                </c:pt>
              </c:strCache>
            </c:strRef>
          </c:cat>
          <c:val>
            <c:numRef>
              <c:f>'EARLY INITIATION'!$B$3:$B$4</c:f>
              <c:numCache>
                <c:formatCode>General</c:formatCode>
                <c:ptCount val="2"/>
                <c:pt idx="0">
                  <c:v>24.4</c:v>
                </c:pt>
                <c:pt idx="1">
                  <c:v>11</c:v>
                </c:pt>
              </c:numCache>
            </c:numRef>
          </c:val>
        </c:ser>
        <c:ser>
          <c:idx val="1"/>
          <c:order val="1"/>
          <c:tx>
            <c:strRef>
              <c:f>'EARLY INITIATION'!$C$1:$C$2</c:f>
              <c:strCache>
                <c:ptCount val="1"/>
                <c:pt idx="0">
                  <c:v>CDHS 2005</c:v>
                </c:pt>
              </c:strCache>
            </c:strRef>
          </c:tx>
          <c:invertIfNegative val="0"/>
          <c:cat>
            <c:strRef>
              <c:f>'EARLY INITIATION'!$A$3:$A$4</c:f>
              <c:strCache>
                <c:ptCount val="2"/>
                <c:pt idx="0">
                  <c:v>Breastfeeding within 1 day</c:v>
                </c:pt>
                <c:pt idx="1">
                  <c:v>Breastfeeding within 1 hour</c:v>
                </c:pt>
              </c:strCache>
            </c:strRef>
          </c:cat>
          <c:val>
            <c:numRef>
              <c:f>'EARLY INITIATION'!$C$3:$C$4</c:f>
              <c:numCache>
                <c:formatCode>General</c:formatCode>
                <c:ptCount val="2"/>
                <c:pt idx="0">
                  <c:v>68.3</c:v>
                </c:pt>
                <c:pt idx="1">
                  <c:v>35.1</c:v>
                </c:pt>
              </c:numCache>
            </c:numRef>
          </c:val>
        </c:ser>
        <c:ser>
          <c:idx val="2"/>
          <c:order val="2"/>
          <c:tx>
            <c:strRef>
              <c:f>'EARLY INITIATION'!$D$1:$D$2</c:f>
              <c:strCache>
                <c:ptCount val="1"/>
                <c:pt idx="0">
                  <c:v>CSES 2009</c:v>
                </c:pt>
              </c:strCache>
            </c:strRef>
          </c:tx>
          <c:invertIfNegative val="0"/>
          <c:cat>
            <c:strRef>
              <c:f>'EARLY INITIATION'!$A$3:$A$4</c:f>
              <c:strCache>
                <c:ptCount val="2"/>
                <c:pt idx="0">
                  <c:v>Breastfeeding within 1 day</c:v>
                </c:pt>
                <c:pt idx="1">
                  <c:v>Breastfeeding within 1 hour</c:v>
                </c:pt>
              </c:strCache>
            </c:strRef>
          </c:cat>
          <c:val>
            <c:numRef>
              <c:f>'EARLY INITIATION'!$D$3:$D$4</c:f>
              <c:numCache>
                <c:formatCode>General</c:formatCode>
                <c:ptCount val="2"/>
                <c:pt idx="0">
                  <c:v>88.9</c:v>
                </c:pt>
                <c:pt idx="1">
                  <c:v>32.4</c:v>
                </c:pt>
              </c:numCache>
            </c:numRef>
          </c:val>
        </c:ser>
        <c:ser>
          <c:idx val="3"/>
          <c:order val="3"/>
          <c:tx>
            <c:strRef>
              <c:f>'EARLY INITIATION'!$E$1:$E$2</c:f>
              <c:strCache>
                <c:ptCount val="1"/>
                <c:pt idx="0">
                  <c:v>CDHS 2010</c:v>
                </c:pt>
              </c:strCache>
            </c:strRef>
          </c:tx>
          <c:invertIfNegative val="0"/>
          <c:cat>
            <c:strRef>
              <c:f>'EARLY INITIATION'!$A$3:$A$4</c:f>
              <c:strCache>
                <c:ptCount val="2"/>
                <c:pt idx="0">
                  <c:v>Breastfeeding within 1 day</c:v>
                </c:pt>
                <c:pt idx="1">
                  <c:v>Breastfeeding within 1 hour</c:v>
                </c:pt>
              </c:strCache>
            </c:strRef>
          </c:cat>
          <c:val>
            <c:numRef>
              <c:f>'EARLY INITIATION'!$E$3:$E$4</c:f>
              <c:numCache>
                <c:formatCode>General</c:formatCode>
                <c:ptCount val="2"/>
                <c:pt idx="0">
                  <c:v>88.8</c:v>
                </c:pt>
                <c:pt idx="1">
                  <c:v>65.2</c:v>
                </c:pt>
              </c:numCache>
            </c:numRef>
          </c:val>
        </c:ser>
        <c:dLbls>
          <c:showLegendKey val="0"/>
          <c:showVal val="1"/>
          <c:showCatName val="0"/>
          <c:showSerName val="0"/>
          <c:showPercent val="0"/>
          <c:showBubbleSize val="0"/>
        </c:dLbls>
        <c:gapWidth val="150"/>
        <c:overlap val="-25"/>
        <c:axId val="265837184"/>
        <c:axId val="265838976"/>
      </c:barChart>
      <c:catAx>
        <c:axId val="265837184"/>
        <c:scaling>
          <c:orientation val="minMax"/>
        </c:scaling>
        <c:delete val="0"/>
        <c:axPos val="b"/>
        <c:majorTickMark val="none"/>
        <c:minorTickMark val="none"/>
        <c:tickLblPos val="nextTo"/>
        <c:crossAx val="265838976"/>
        <c:crosses val="autoZero"/>
        <c:auto val="1"/>
        <c:lblAlgn val="ctr"/>
        <c:lblOffset val="100"/>
        <c:noMultiLvlLbl val="0"/>
      </c:catAx>
      <c:valAx>
        <c:axId val="265838976"/>
        <c:scaling>
          <c:orientation val="minMax"/>
        </c:scaling>
        <c:delete val="1"/>
        <c:axPos val="l"/>
        <c:numFmt formatCode="General" sourceLinked="1"/>
        <c:majorTickMark val="out"/>
        <c:minorTickMark val="none"/>
        <c:tickLblPos val="none"/>
        <c:crossAx val="265837184"/>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Early Initiation</c:v>
          </c:tx>
          <c:spPr>
            <a:ln w="28575">
              <a:noFill/>
            </a:ln>
          </c:spPr>
          <c:trendline>
            <c:trendlineType val="movingAvg"/>
            <c:period val="5"/>
            <c:dispRSqr val="0"/>
            <c:dispEq val="0"/>
          </c:trendline>
          <c:xVal>
            <c:numRef>
              <c:f>'3.1 Early BF &amp; prelacteal'!$C$229:$C$416</c:f>
              <c:numCache>
                <c:formatCode>General</c:formatCode>
                <c:ptCount val="188"/>
                <c:pt idx="0">
                  <c:v>1995.25</c:v>
                </c:pt>
                <c:pt idx="1">
                  <c:v>1995.3333333333333</c:v>
                </c:pt>
                <c:pt idx="2">
                  <c:v>1995.4166666666667</c:v>
                </c:pt>
                <c:pt idx="3">
                  <c:v>1995.5</c:v>
                </c:pt>
                <c:pt idx="4">
                  <c:v>1995.5833333333333</c:v>
                </c:pt>
                <c:pt idx="5">
                  <c:v>1995.6666666666667</c:v>
                </c:pt>
                <c:pt idx="6">
                  <c:v>1995.75</c:v>
                </c:pt>
                <c:pt idx="7">
                  <c:v>1995.8333333333333</c:v>
                </c:pt>
                <c:pt idx="8">
                  <c:v>1995.9166666666667</c:v>
                </c:pt>
                <c:pt idx="9">
                  <c:v>1996</c:v>
                </c:pt>
                <c:pt idx="10">
                  <c:v>1996.0833333333333</c:v>
                </c:pt>
                <c:pt idx="11">
                  <c:v>1996.1666666666667</c:v>
                </c:pt>
                <c:pt idx="12">
                  <c:v>1996.25</c:v>
                </c:pt>
                <c:pt idx="13">
                  <c:v>1996.3333333333333</c:v>
                </c:pt>
                <c:pt idx="14">
                  <c:v>1996.4166666666667</c:v>
                </c:pt>
                <c:pt idx="15">
                  <c:v>1996.5</c:v>
                </c:pt>
                <c:pt idx="16">
                  <c:v>1996.5833333333333</c:v>
                </c:pt>
                <c:pt idx="17">
                  <c:v>1996.6666666666667</c:v>
                </c:pt>
                <c:pt idx="18">
                  <c:v>1996.75</c:v>
                </c:pt>
                <c:pt idx="19">
                  <c:v>1996.8333333333333</c:v>
                </c:pt>
                <c:pt idx="20">
                  <c:v>1996.9166666666667</c:v>
                </c:pt>
                <c:pt idx="21">
                  <c:v>1997</c:v>
                </c:pt>
                <c:pt idx="22">
                  <c:v>1997.0833333333333</c:v>
                </c:pt>
                <c:pt idx="23">
                  <c:v>1997.1666666666667</c:v>
                </c:pt>
                <c:pt idx="24">
                  <c:v>1997.25</c:v>
                </c:pt>
                <c:pt idx="25">
                  <c:v>1997.3333333333333</c:v>
                </c:pt>
                <c:pt idx="26">
                  <c:v>1997.4166666666667</c:v>
                </c:pt>
                <c:pt idx="27">
                  <c:v>1997.5</c:v>
                </c:pt>
                <c:pt idx="28">
                  <c:v>1997.5833333333333</c:v>
                </c:pt>
                <c:pt idx="29">
                  <c:v>1997.6666666666667</c:v>
                </c:pt>
                <c:pt idx="30">
                  <c:v>1997.75</c:v>
                </c:pt>
                <c:pt idx="31">
                  <c:v>1997.8333333333333</c:v>
                </c:pt>
                <c:pt idx="32">
                  <c:v>1997.9166666666667</c:v>
                </c:pt>
                <c:pt idx="33">
                  <c:v>1998</c:v>
                </c:pt>
                <c:pt idx="34">
                  <c:v>1998.0833333333333</c:v>
                </c:pt>
                <c:pt idx="35">
                  <c:v>1998.1666666666667</c:v>
                </c:pt>
                <c:pt idx="36">
                  <c:v>1998.25</c:v>
                </c:pt>
                <c:pt idx="37">
                  <c:v>1998.3333333333333</c:v>
                </c:pt>
                <c:pt idx="38">
                  <c:v>1998.4166666666667</c:v>
                </c:pt>
                <c:pt idx="39">
                  <c:v>1998.5</c:v>
                </c:pt>
                <c:pt idx="40">
                  <c:v>1998.5833333333333</c:v>
                </c:pt>
                <c:pt idx="41">
                  <c:v>1998.6666666666667</c:v>
                </c:pt>
                <c:pt idx="42">
                  <c:v>1998.75</c:v>
                </c:pt>
                <c:pt idx="43">
                  <c:v>1998.8333333333333</c:v>
                </c:pt>
                <c:pt idx="44">
                  <c:v>1998.9166666666667</c:v>
                </c:pt>
                <c:pt idx="45">
                  <c:v>1999</c:v>
                </c:pt>
                <c:pt idx="46">
                  <c:v>1999.0833333333333</c:v>
                </c:pt>
                <c:pt idx="47">
                  <c:v>1999.1666666666667</c:v>
                </c:pt>
                <c:pt idx="48">
                  <c:v>1999.25</c:v>
                </c:pt>
                <c:pt idx="49">
                  <c:v>1999.3333333333333</c:v>
                </c:pt>
                <c:pt idx="50">
                  <c:v>1999.4166666666667</c:v>
                </c:pt>
                <c:pt idx="51">
                  <c:v>1999.5</c:v>
                </c:pt>
                <c:pt idx="52">
                  <c:v>1999.5833333333333</c:v>
                </c:pt>
                <c:pt idx="53">
                  <c:v>1999.6666666666667</c:v>
                </c:pt>
                <c:pt idx="54">
                  <c:v>1999.75</c:v>
                </c:pt>
                <c:pt idx="55">
                  <c:v>1999.8333333333333</c:v>
                </c:pt>
                <c:pt idx="56">
                  <c:v>1999.9166666666667</c:v>
                </c:pt>
                <c:pt idx="57">
                  <c:v>2000</c:v>
                </c:pt>
                <c:pt idx="58">
                  <c:v>2000.0833333333333</c:v>
                </c:pt>
                <c:pt idx="59">
                  <c:v>2000.1666666666667</c:v>
                </c:pt>
                <c:pt idx="60">
                  <c:v>2000.25</c:v>
                </c:pt>
                <c:pt idx="61">
                  <c:v>2000.3333333333333</c:v>
                </c:pt>
                <c:pt idx="62">
                  <c:v>2000.4166666666667</c:v>
                </c:pt>
                <c:pt idx="63">
                  <c:v>2000.5</c:v>
                </c:pt>
                <c:pt idx="64">
                  <c:v>2000.5833333333333</c:v>
                </c:pt>
                <c:pt idx="65">
                  <c:v>2000.8333333333333</c:v>
                </c:pt>
                <c:pt idx="66">
                  <c:v>2000.9166666666667</c:v>
                </c:pt>
                <c:pt idx="67">
                  <c:v>2001</c:v>
                </c:pt>
                <c:pt idx="68">
                  <c:v>2001.0833333333333</c:v>
                </c:pt>
                <c:pt idx="69">
                  <c:v>2001.1666666666667</c:v>
                </c:pt>
                <c:pt idx="70">
                  <c:v>2001.25</c:v>
                </c:pt>
                <c:pt idx="71">
                  <c:v>2001.3333333333333</c:v>
                </c:pt>
                <c:pt idx="72">
                  <c:v>2001.4166666666667</c:v>
                </c:pt>
                <c:pt idx="73">
                  <c:v>2001.5</c:v>
                </c:pt>
                <c:pt idx="74">
                  <c:v>2001.5833333333333</c:v>
                </c:pt>
                <c:pt idx="75">
                  <c:v>2001.6666666666667</c:v>
                </c:pt>
                <c:pt idx="76">
                  <c:v>2001.75</c:v>
                </c:pt>
                <c:pt idx="77">
                  <c:v>2001.8333333333333</c:v>
                </c:pt>
                <c:pt idx="78">
                  <c:v>2001.9166666666667</c:v>
                </c:pt>
                <c:pt idx="79">
                  <c:v>2002</c:v>
                </c:pt>
                <c:pt idx="80">
                  <c:v>2002.0833333333333</c:v>
                </c:pt>
                <c:pt idx="81">
                  <c:v>2002.1666666666667</c:v>
                </c:pt>
                <c:pt idx="82">
                  <c:v>2002.25</c:v>
                </c:pt>
                <c:pt idx="83">
                  <c:v>2002.3333333333333</c:v>
                </c:pt>
                <c:pt idx="84">
                  <c:v>2002.4166666666667</c:v>
                </c:pt>
                <c:pt idx="85">
                  <c:v>2002.5</c:v>
                </c:pt>
                <c:pt idx="86">
                  <c:v>2002.5833333333333</c:v>
                </c:pt>
                <c:pt idx="87">
                  <c:v>2002.6666666666667</c:v>
                </c:pt>
                <c:pt idx="88">
                  <c:v>2002.75</c:v>
                </c:pt>
                <c:pt idx="89">
                  <c:v>2002.8333333333333</c:v>
                </c:pt>
                <c:pt idx="90">
                  <c:v>2002.9166666666667</c:v>
                </c:pt>
                <c:pt idx="91">
                  <c:v>2003</c:v>
                </c:pt>
                <c:pt idx="92">
                  <c:v>2003.0833333333333</c:v>
                </c:pt>
                <c:pt idx="93">
                  <c:v>2003.1666666666667</c:v>
                </c:pt>
                <c:pt idx="94">
                  <c:v>2003.25</c:v>
                </c:pt>
                <c:pt idx="95">
                  <c:v>2003.3333333333333</c:v>
                </c:pt>
                <c:pt idx="96">
                  <c:v>2003.4166666666667</c:v>
                </c:pt>
                <c:pt idx="97">
                  <c:v>2003.5</c:v>
                </c:pt>
                <c:pt idx="98">
                  <c:v>2003.5833333333333</c:v>
                </c:pt>
                <c:pt idx="99">
                  <c:v>2003.6666666666667</c:v>
                </c:pt>
                <c:pt idx="100">
                  <c:v>2003.75</c:v>
                </c:pt>
                <c:pt idx="101">
                  <c:v>2003.8333333333333</c:v>
                </c:pt>
                <c:pt idx="102">
                  <c:v>2003.9166666666667</c:v>
                </c:pt>
                <c:pt idx="103">
                  <c:v>2004</c:v>
                </c:pt>
                <c:pt idx="104">
                  <c:v>2004.0833333333333</c:v>
                </c:pt>
                <c:pt idx="105">
                  <c:v>2004.1666666666667</c:v>
                </c:pt>
                <c:pt idx="106">
                  <c:v>2004.25</c:v>
                </c:pt>
                <c:pt idx="107">
                  <c:v>2004.3333333333333</c:v>
                </c:pt>
                <c:pt idx="108">
                  <c:v>2004.4166666666667</c:v>
                </c:pt>
                <c:pt idx="109">
                  <c:v>2004.5</c:v>
                </c:pt>
                <c:pt idx="110">
                  <c:v>2004.5833333333333</c:v>
                </c:pt>
                <c:pt idx="111">
                  <c:v>2004.6666666666667</c:v>
                </c:pt>
                <c:pt idx="112">
                  <c:v>2004.75</c:v>
                </c:pt>
                <c:pt idx="113">
                  <c:v>2004.8333333333333</c:v>
                </c:pt>
                <c:pt idx="114">
                  <c:v>2004.9166666666667</c:v>
                </c:pt>
                <c:pt idx="115">
                  <c:v>2005</c:v>
                </c:pt>
                <c:pt idx="116">
                  <c:v>2005.0833333333333</c:v>
                </c:pt>
                <c:pt idx="117">
                  <c:v>2005.1666666666667</c:v>
                </c:pt>
                <c:pt idx="118">
                  <c:v>2005.25</c:v>
                </c:pt>
                <c:pt idx="119">
                  <c:v>2005.3333333333333</c:v>
                </c:pt>
                <c:pt idx="120">
                  <c:v>2005.4166666666667</c:v>
                </c:pt>
                <c:pt idx="121">
                  <c:v>2005.5</c:v>
                </c:pt>
                <c:pt idx="122">
                  <c:v>2005.5833333333333</c:v>
                </c:pt>
                <c:pt idx="123">
                  <c:v>2005.6666666666667</c:v>
                </c:pt>
                <c:pt idx="124">
                  <c:v>2005.75</c:v>
                </c:pt>
                <c:pt idx="125">
                  <c:v>2005.8333333333333</c:v>
                </c:pt>
                <c:pt idx="126">
                  <c:v>2005.9166666666667</c:v>
                </c:pt>
                <c:pt idx="127">
                  <c:v>2006</c:v>
                </c:pt>
                <c:pt idx="128">
                  <c:v>2006.0833333333333</c:v>
                </c:pt>
                <c:pt idx="129">
                  <c:v>2006.1666666666667</c:v>
                </c:pt>
                <c:pt idx="130">
                  <c:v>2006.25</c:v>
                </c:pt>
                <c:pt idx="131">
                  <c:v>2006.3333333333333</c:v>
                </c:pt>
                <c:pt idx="132">
                  <c:v>2006.4166666666667</c:v>
                </c:pt>
                <c:pt idx="133">
                  <c:v>2006.5</c:v>
                </c:pt>
                <c:pt idx="134">
                  <c:v>2006.5833333333333</c:v>
                </c:pt>
                <c:pt idx="135">
                  <c:v>2006.6666666666667</c:v>
                </c:pt>
                <c:pt idx="136">
                  <c:v>2006.75</c:v>
                </c:pt>
                <c:pt idx="137">
                  <c:v>2006.8333333333333</c:v>
                </c:pt>
                <c:pt idx="138">
                  <c:v>2006.9166666666667</c:v>
                </c:pt>
                <c:pt idx="139">
                  <c:v>2007</c:v>
                </c:pt>
                <c:pt idx="140">
                  <c:v>2007.0833333333333</c:v>
                </c:pt>
                <c:pt idx="141">
                  <c:v>2007.1666666666667</c:v>
                </c:pt>
                <c:pt idx="142">
                  <c:v>2007.25</c:v>
                </c:pt>
                <c:pt idx="143">
                  <c:v>2007.3333333333333</c:v>
                </c:pt>
                <c:pt idx="144">
                  <c:v>2007.4166666666667</c:v>
                </c:pt>
                <c:pt idx="145">
                  <c:v>2007.5</c:v>
                </c:pt>
                <c:pt idx="146">
                  <c:v>2007.5833333333333</c:v>
                </c:pt>
                <c:pt idx="147">
                  <c:v>2007.6666666666667</c:v>
                </c:pt>
                <c:pt idx="148">
                  <c:v>2007.75</c:v>
                </c:pt>
                <c:pt idx="149">
                  <c:v>2007.8333333333333</c:v>
                </c:pt>
                <c:pt idx="150">
                  <c:v>2007.9166666666667</c:v>
                </c:pt>
                <c:pt idx="151">
                  <c:v>2008</c:v>
                </c:pt>
                <c:pt idx="152">
                  <c:v>2008.0833333333333</c:v>
                </c:pt>
                <c:pt idx="153">
                  <c:v>2008.1666666666667</c:v>
                </c:pt>
                <c:pt idx="154">
                  <c:v>2008.25</c:v>
                </c:pt>
                <c:pt idx="155">
                  <c:v>2008.3333333333333</c:v>
                </c:pt>
                <c:pt idx="156">
                  <c:v>2008.4166666666667</c:v>
                </c:pt>
                <c:pt idx="157">
                  <c:v>2008.5</c:v>
                </c:pt>
                <c:pt idx="158">
                  <c:v>2008.5833333333333</c:v>
                </c:pt>
                <c:pt idx="159">
                  <c:v>2008.6666666666667</c:v>
                </c:pt>
                <c:pt idx="160">
                  <c:v>2008.75</c:v>
                </c:pt>
                <c:pt idx="161">
                  <c:v>2008.8333333333333</c:v>
                </c:pt>
                <c:pt idx="162">
                  <c:v>2008.9166666666667</c:v>
                </c:pt>
                <c:pt idx="163">
                  <c:v>2009</c:v>
                </c:pt>
                <c:pt idx="164">
                  <c:v>2009.0833333333333</c:v>
                </c:pt>
                <c:pt idx="165">
                  <c:v>2009.1666666666667</c:v>
                </c:pt>
                <c:pt idx="166">
                  <c:v>2009.25</c:v>
                </c:pt>
                <c:pt idx="167">
                  <c:v>2009.3333333333333</c:v>
                </c:pt>
                <c:pt idx="168">
                  <c:v>2009.4166666666667</c:v>
                </c:pt>
                <c:pt idx="169">
                  <c:v>2009.5</c:v>
                </c:pt>
                <c:pt idx="170">
                  <c:v>2009.5833333333333</c:v>
                </c:pt>
                <c:pt idx="171">
                  <c:v>2009.6666666666667</c:v>
                </c:pt>
                <c:pt idx="172">
                  <c:v>2009.75</c:v>
                </c:pt>
                <c:pt idx="173">
                  <c:v>2009.8333333333333</c:v>
                </c:pt>
                <c:pt idx="174">
                  <c:v>2009.9166666666667</c:v>
                </c:pt>
                <c:pt idx="175">
                  <c:v>2010</c:v>
                </c:pt>
                <c:pt idx="176">
                  <c:v>2010.0833333333333</c:v>
                </c:pt>
                <c:pt idx="177">
                  <c:v>2010.1666666666667</c:v>
                </c:pt>
                <c:pt idx="178">
                  <c:v>2010.25</c:v>
                </c:pt>
                <c:pt idx="179">
                  <c:v>2010.3333333333333</c:v>
                </c:pt>
                <c:pt idx="180">
                  <c:v>2010.4166666666667</c:v>
                </c:pt>
                <c:pt idx="181">
                  <c:v>2010.5</c:v>
                </c:pt>
                <c:pt idx="182">
                  <c:v>2010.5833333333333</c:v>
                </c:pt>
                <c:pt idx="183">
                  <c:v>2010.6666666666667</c:v>
                </c:pt>
                <c:pt idx="184">
                  <c:v>2010.75</c:v>
                </c:pt>
                <c:pt idx="185">
                  <c:v>2010.8333333333333</c:v>
                </c:pt>
                <c:pt idx="186">
                  <c:v>2010.9166666666667</c:v>
                </c:pt>
                <c:pt idx="187">
                  <c:v>2011</c:v>
                </c:pt>
              </c:numCache>
            </c:numRef>
          </c:xVal>
          <c:yVal>
            <c:numRef>
              <c:f>'3.1 Early BF &amp; prelacteal'!$D$229:$D$416</c:f>
              <c:numCache>
                <c:formatCode>General</c:formatCode>
                <c:ptCount val="188"/>
                <c:pt idx="0">
                  <c:v>0</c:v>
                </c:pt>
                <c:pt idx="1">
                  <c:v>0.2327169</c:v>
                </c:pt>
                <c:pt idx="2">
                  <c:v>0</c:v>
                </c:pt>
                <c:pt idx="3">
                  <c:v>6.4563800000000005E-2</c:v>
                </c:pt>
                <c:pt idx="4">
                  <c:v>0.14825830000000001</c:v>
                </c:pt>
                <c:pt idx="5">
                  <c:v>0.1166623</c:v>
                </c:pt>
                <c:pt idx="6">
                  <c:v>6.1872099999999999E-2</c:v>
                </c:pt>
                <c:pt idx="7">
                  <c:v>0.2520889</c:v>
                </c:pt>
                <c:pt idx="8">
                  <c:v>0.15543190000000001</c:v>
                </c:pt>
                <c:pt idx="9">
                  <c:v>4.1231299999999999E-2</c:v>
                </c:pt>
                <c:pt idx="10">
                  <c:v>0.10079299999999999</c:v>
                </c:pt>
                <c:pt idx="11">
                  <c:v>0.22558839999999999</c:v>
                </c:pt>
                <c:pt idx="12">
                  <c:v>9.16579E-2</c:v>
                </c:pt>
                <c:pt idx="13">
                  <c:v>0.1146303</c:v>
                </c:pt>
                <c:pt idx="14">
                  <c:v>0.13627529999999999</c:v>
                </c:pt>
                <c:pt idx="15">
                  <c:v>0.15148990000000001</c:v>
                </c:pt>
                <c:pt idx="16">
                  <c:v>0.11051329999999999</c:v>
                </c:pt>
                <c:pt idx="17">
                  <c:v>0.1168042</c:v>
                </c:pt>
                <c:pt idx="18">
                  <c:v>9.0231000000000006E-2</c:v>
                </c:pt>
                <c:pt idx="19">
                  <c:v>0.12904070000000001</c:v>
                </c:pt>
                <c:pt idx="20">
                  <c:v>9.6628699999999998E-2</c:v>
                </c:pt>
                <c:pt idx="21">
                  <c:v>7.3853199999999994E-2</c:v>
                </c:pt>
                <c:pt idx="22">
                  <c:v>0.1218258</c:v>
                </c:pt>
                <c:pt idx="23">
                  <c:v>5.5123100000000001E-2</c:v>
                </c:pt>
                <c:pt idx="24">
                  <c:v>9.6732899999999997E-2</c:v>
                </c:pt>
                <c:pt idx="25">
                  <c:v>0.13166169999999999</c:v>
                </c:pt>
                <c:pt idx="26">
                  <c:v>5.4315099999999998E-2</c:v>
                </c:pt>
                <c:pt idx="27">
                  <c:v>0.12538750000000001</c:v>
                </c:pt>
                <c:pt idx="28">
                  <c:v>5.7345500000000001E-2</c:v>
                </c:pt>
                <c:pt idx="29">
                  <c:v>0.1280529</c:v>
                </c:pt>
                <c:pt idx="30">
                  <c:v>0.13055169999999999</c:v>
                </c:pt>
                <c:pt idx="31">
                  <c:v>7.8855800000000004E-2</c:v>
                </c:pt>
                <c:pt idx="32">
                  <c:v>0.15575459999999999</c:v>
                </c:pt>
                <c:pt idx="33">
                  <c:v>0.1075854</c:v>
                </c:pt>
                <c:pt idx="34">
                  <c:v>6.2967800000000004E-2</c:v>
                </c:pt>
                <c:pt idx="35">
                  <c:v>9.3747499999999997E-2</c:v>
                </c:pt>
                <c:pt idx="36">
                  <c:v>0.1254846</c:v>
                </c:pt>
                <c:pt idx="37">
                  <c:v>8.4344199999999994E-2</c:v>
                </c:pt>
                <c:pt idx="38">
                  <c:v>7.9519300000000001E-2</c:v>
                </c:pt>
                <c:pt idx="39">
                  <c:v>0.13616259999999999</c:v>
                </c:pt>
                <c:pt idx="40">
                  <c:v>0.1097296</c:v>
                </c:pt>
                <c:pt idx="41">
                  <c:v>0.1847038</c:v>
                </c:pt>
                <c:pt idx="42">
                  <c:v>0.207955</c:v>
                </c:pt>
                <c:pt idx="43">
                  <c:v>0.1056035</c:v>
                </c:pt>
                <c:pt idx="44">
                  <c:v>0.1203301</c:v>
                </c:pt>
                <c:pt idx="45">
                  <c:v>0.13437730000000001</c:v>
                </c:pt>
                <c:pt idx="46">
                  <c:v>8.7077500000000002E-2</c:v>
                </c:pt>
                <c:pt idx="47">
                  <c:v>9.3368900000000005E-2</c:v>
                </c:pt>
                <c:pt idx="48">
                  <c:v>0.13161829999999999</c:v>
                </c:pt>
                <c:pt idx="49">
                  <c:v>9.6070100000000005E-2</c:v>
                </c:pt>
                <c:pt idx="50">
                  <c:v>0.13185640000000001</c:v>
                </c:pt>
                <c:pt idx="51">
                  <c:v>8.3877400000000005E-2</c:v>
                </c:pt>
                <c:pt idx="52">
                  <c:v>6.9826899999999997E-2</c:v>
                </c:pt>
                <c:pt idx="53">
                  <c:v>0.13660410000000001</c:v>
                </c:pt>
                <c:pt idx="54">
                  <c:v>0.1028424</c:v>
                </c:pt>
                <c:pt idx="55">
                  <c:v>0.10232280000000001</c:v>
                </c:pt>
                <c:pt idx="56">
                  <c:v>0.1395623</c:v>
                </c:pt>
                <c:pt idx="57">
                  <c:v>0.13271079999999999</c:v>
                </c:pt>
                <c:pt idx="58">
                  <c:v>5.54447E-2</c:v>
                </c:pt>
                <c:pt idx="59">
                  <c:v>8.9197499999999999E-2</c:v>
                </c:pt>
                <c:pt idx="60">
                  <c:v>0.12318560000000001</c:v>
                </c:pt>
                <c:pt idx="61">
                  <c:v>9.2807100000000003E-2</c:v>
                </c:pt>
                <c:pt idx="62">
                  <c:v>0.17648539999999999</c:v>
                </c:pt>
                <c:pt idx="63">
                  <c:v>0.2823309</c:v>
                </c:pt>
                <c:pt idx="64">
                  <c:v>0.29845090000000002</c:v>
                </c:pt>
                <c:pt idx="65">
                  <c:v>0.15579879999999999</c:v>
                </c:pt>
                <c:pt idx="66">
                  <c:v>0.4336103</c:v>
                </c:pt>
                <c:pt idx="67">
                  <c:v>0.34423209999999999</c:v>
                </c:pt>
                <c:pt idx="68">
                  <c:v>0.30585869999999998</c:v>
                </c:pt>
                <c:pt idx="69">
                  <c:v>0.4425424</c:v>
                </c:pt>
                <c:pt idx="70">
                  <c:v>0.32890779999999997</c:v>
                </c:pt>
                <c:pt idx="71">
                  <c:v>0.3794092</c:v>
                </c:pt>
                <c:pt idx="72">
                  <c:v>0.2448621</c:v>
                </c:pt>
                <c:pt idx="73">
                  <c:v>0.2161333</c:v>
                </c:pt>
                <c:pt idx="74">
                  <c:v>0.40892250000000002</c:v>
                </c:pt>
                <c:pt idx="75">
                  <c:v>0.24745800000000001</c:v>
                </c:pt>
                <c:pt idx="76">
                  <c:v>0.32346370000000002</c:v>
                </c:pt>
                <c:pt idx="77">
                  <c:v>0.27322239999999998</c:v>
                </c:pt>
                <c:pt idx="78">
                  <c:v>0.3170038</c:v>
                </c:pt>
                <c:pt idx="79">
                  <c:v>0.16606080000000001</c:v>
                </c:pt>
                <c:pt idx="80">
                  <c:v>0.44405729999999999</c:v>
                </c:pt>
                <c:pt idx="81">
                  <c:v>0.26896910000000002</c:v>
                </c:pt>
                <c:pt idx="82">
                  <c:v>0.33326670000000003</c:v>
                </c:pt>
                <c:pt idx="83">
                  <c:v>0.42158370000000001</c:v>
                </c:pt>
                <c:pt idx="84">
                  <c:v>0.23220640000000001</c:v>
                </c:pt>
                <c:pt idx="85">
                  <c:v>0.343501</c:v>
                </c:pt>
                <c:pt idx="86">
                  <c:v>0.2556484</c:v>
                </c:pt>
                <c:pt idx="87">
                  <c:v>0.33319199999999999</c:v>
                </c:pt>
                <c:pt idx="88">
                  <c:v>0.39534439999999998</c:v>
                </c:pt>
                <c:pt idx="89">
                  <c:v>0.29714160000000001</c:v>
                </c:pt>
                <c:pt idx="90">
                  <c:v>0.3064075</c:v>
                </c:pt>
                <c:pt idx="91">
                  <c:v>0.36411549999999998</c:v>
                </c:pt>
                <c:pt idx="92">
                  <c:v>0.34743469999999999</c:v>
                </c:pt>
                <c:pt idx="93">
                  <c:v>0.28358549999999999</c:v>
                </c:pt>
                <c:pt idx="94">
                  <c:v>0.34022740000000001</c:v>
                </c:pt>
                <c:pt idx="95">
                  <c:v>0.33383049999999997</c:v>
                </c:pt>
                <c:pt idx="96">
                  <c:v>0.40463959999999999</c:v>
                </c:pt>
                <c:pt idx="97">
                  <c:v>0.41956159999999998</c:v>
                </c:pt>
                <c:pt idx="98">
                  <c:v>0.34344530000000001</c:v>
                </c:pt>
                <c:pt idx="99">
                  <c:v>0.34292270000000002</c:v>
                </c:pt>
                <c:pt idx="100">
                  <c:v>0.37837809999999999</c:v>
                </c:pt>
                <c:pt idx="101">
                  <c:v>0.2193417</c:v>
                </c:pt>
                <c:pt idx="102">
                  <c:v>0.26980799999999999</c:v>
                </c:pt>
                <c:pt idx="103">
                  <c:v>0.30598700000000001</c:v>
                </c:pt>
                <c:pt idx="104">
                  <c:v>0.27670099999999997</c:v>
                </c:pt>
                <c:pt idx="105">
                  <c:v>0.28507949999999999</c:v>
                </c:pt>
                <c:pt idx="106">
                  <c:v>0.30803249999999999</c:v>
                </c:pt>
                <c:pt idx="107">
                  <c:v>0.37735239999999998</c:v>
                </c:pt>
                <c:pt idx="108">
                  <c:v>0.39111249999999997</c:v>
                </c:pt>
                <c:pt idx="109">
                  <c:v>0.46746399999999999</c:v>
                </c:pt>
                <c:pt idx="110">
                  <c:v>0.3283874</c:v>
                </c:pt>
                <c:pt idx="111">
                  <c:v>0.33675369999999999</c:v>
                </c:pt>
                <c:pt idx="112">
                  <c:v>0.37553619999999999</c:v>
                </c:pt>
                <c:pt idx="113">
                  <c:v>0.36089909999999997</c:v>
                </c:pt>
                <c:pt idx="114">
                  <c:v>0.33139390000000002</c:v>
                </c:pt>
                <c:pt idx="115">
                  <c:v>0.40952860000000002</c:v>
                </c:pt>
                <c:pt idx="116">
                  <c:v>0.32462839999999998</c:v>
                </c:pt>
                <c:pt idx="117">
                  <c:v>0.4910718</c:v>
                </c:pt>
                <c:pt idx="118">
                  <c:v>0.2888577</c:v>
                </c:pt>
                <c:pt idx="119">
                  <c:v>0.35858640000000003</c:v>
                </c:pt>
                <c:pt idx="120">
                  <c:v>0.27639839999999999</c:v>
                </c:pt>
                <c:pt idx="121">
                  <c:v>0.33193790000000001</c:v>
                </c:pt>
                <c:pt idx="122">
                  <c:v>0.34425850000000002</c:v>
                </c:pt>
                <c:pt idx="123">
                  <c:v>0.37916480000000002</c:v>
                </c:pt>
                <c:pt idx="124">
                  <c:v>0.47380349999999999</c:v>
                </c:pt>
                <c:pt idx="125">
                  <c:v>0.40820509999999999</c:v>
                </c:pt>
                <c:pt idx="126">
                  <c:v>0.43286390000000002</c:v>
                </c:pt>
                <c:pt idx="127">
                  <c:v>0.48860320000000002</c:v>
                </c:pt>
                <c:pt idx="128">
                  <c:v>0.5239878</c:v>
                </c:pt>
                <c:pt idx="129">
                  <c:v>0.6190196</c:v>
                </c:pt>
                <c:pt idx="130">
                  <c:v>0.47153440000000002</c:v>
                </c:pt>
                <c:pt idx="131">
                  <c:v>0.51694870000000004</c:v>
                </c:pt>
                <c:pt idx="132">
                  <c:v>0.51410149999999999</c:v>
                </c:pt>
                <c:pt idx="133">
                  <c:v>0.53792770000000001</c:v>
                </c:pt>
                <c:pt idx="134">
                  <c:v>0.68780249999999998</c:v>
                </c:pt>
                <c:pt idx="135">
                  <c:v>0.60910730000000002</c:v>
                </c:pt>
                <c:pt idx="136">
                  <c:v>0.57907600000000004</c:v>
                </c:pt>
                <c:pt idx="137">
                  <c:v>0.59286139999999998</c:v>
                </c:pt>
                <c:pt idx="138">
                  <c:v>0.62140510000000004</c:v>
                </c:pt>
                <c:pt idx="139">
                  <c:v>0.48874200000000001</c:v>
                </c:pt>
                <c:pt idx="140">
                  <c:v>0.60164969999999995</c:v>
                </c:pt>
                <c:pt idx="141">
                  <c:v>0.57845480000000005</c:v>
                </c:pt>
                <c:pt idx="142">
                  <c:v>0.64394490000000004</c:v>
                </c:pt>
                <c:pt idx="143">
                  <c:v>0.48548089999999999</c:v>
                </c:pt>
                <c:pt idx="144">
                  <c:v>0.6838959</c:v>
                </c:pt>
                <c:pt idx="145">
                  <c:v>0.65614050000000002</c:v>
                </c:pt>
                <c:pt idx="146">
                  <c:v>0.5735498</c:v>
                </c:pt>
                <c:pt idx="147">
                  <c:v>0.54408000000000001</c:v>
                </c:pt>
                <c:pt idx="148">
                  <c:v>0.55129899999999998</c:v>
                </c:pt>
                <c:pt idx="149">
                  <c:v>0.55764729999999996</c:v>
                </c:pt>
                <c:pt idx="150">
                  <c:v>0.62633879999999997</c:v>
                </c:pt>
                <c:pt idx="151">
                  <c:v>0.60160550000000002</c:v>
                </c:pt>
                <c:pt idx="152">
                  <c:v>0.6317566</c:v>
                </c:pt>
                <c:pt idx="153">
                  <c:v>0.66807019999999995</c:v>
                </c:pt>
                <c:pt idx="154">
                  <c:v>0.66479469999999996</c:v>
                </c:pt>
                <c:pt idx="155">
                  <c:v>0.55986550000000002</c:v>
                </c:pt>
                <c:pt idx="156">
                  <c:v>0.61357159999999999</c:v>
                </c:pt>
                <c:pt idx="157">
                  <c:v>0.50866999999999996</c:v>
                </c:pt>
                <c:pt idx="158">
                  <c:v>0.66140339999999997</c:v>
                </c:pt>
                <c:pt idx="159">
                  <c:v>0.62777240000000001</c:v>
                </c:pt>
                <c:pt idx="160">
                  <c:v>0.59544710000000001</c:v>
                </c:pt>
                <c:pt idx="161">
                  <c:v>0.61341749999999995</c:v>
                </c:pt>
                <c:pt idx="162">
                  <c:v>0.64800429999999998</c:v>
                </c:pt>
                <c:pt idx="163">
                  <c:v>0.61629210000000001</c:v>
                </c:pt>
                <c:pt idx="164">
                  <c:v>0.72566109999999995</c:v>
                </c:pt>
                <c:pt idx="165">
                  <c:v>0.59902759999999999</c:v>
                </c:pt>
                <c:pt idx="166">
                  <c:v>0.69584040000000003</c:v>
                </c:pt>
                <c:pt idx="167">
                  <c:v>0.58718110000000001</c:v>
                </c:pt>
                <c:pt idx="168">
                  <c:v>0.61645309999999998</c:v>
                </c:pt>
                <c:pt idx="169">
                  <c:v>0.67356450000000001</c:v>
                </c:pt>
                <c:pt idx="170">
                  <c:v>0.68881460000000005</c:v>
                </c:pt>
                <c:pt idx="171">
                  <c:v>0.6309884</c:v>
                </c:pt>
                <c:pt idx="172">
                  <c:v>0.64203750000000004</c:v>
                </c:pt>
                <c:pt idx="173">
                  <c:v>0.71276550000000005</c:v>
                </c:pt>
                <c:pt idx="174">
                  <c:v>0.7435638</c:v>
                </c:pt>
                <c:pt idx="175">
                  <c:v>0.64093129999999998</c:v>
                </c:pt>
                <c:pt idx="176">
                  <c:v>0.6846662</c:v>
                </c:pt>
                <c:pt idx="177">
                  <c:v>0.63134120000000005</c:v>
                </c:pt>
                <c:pt idx="178">
                  <c:v>0.61078759999999999</c:v>
                </c:pt>
                <c:pt idx="179">
                  <c:v>0.57517759999999996</c:v>
                </c:pt>
                <c:pt idx="180">
                  <c:v>0.61091499999999999</c:v>
                </c:pt>
                <c:pt idx="181">
                  <c:v>0.66563439999999996</c:v>
                </c:pt>
                <c:pt idx="182">
                  <c:v>0.59399270000000004</c:v>
                </c:pt>
                <c:pt idx="183">
                  <c:v>0.70276660000000002</c:v>
                </c:pt>
                <c:pt idx="184">
                  <c:v>0.8445182</c:v>
                </c:pt>
                <c:pt idx="185">
                  <c:v>0.75204190000000004</c:v>
                </c:pt>
                <c:pt idx="186">
                  <c:v>0.80090410000000001</c:v>
                </c:pt>
                <c:pt idx="187">
                  <c:v>0.39392860000000002</c:v>
                </c:pt>
              </c:numCache>
            </c:numRef>
          </c:yVal>
          <c:smooth val="0"/>
        </c:ser>
        <c:ser>
          <c:idx val="1"/>
          <c:order val="1"/>
          <c:tx>
            <c:v>Prelacteal Feeding</c:v>
          </c:tx>
          <c:spPr>
            <a:ln w="28575">
              <a:noFill/>
            </a:ln>
          </c:spPr>
          <c:trendline>
            <c:trendlineType val="movingAvg"/>
            <c:period val="5"/>
            <c:dispRSqr val="0"/>
            <c:dispEq val="0"/>
          </c:trendline>
          <c:xVal>
            <c:numRef>
              <c:f>'3.1 Early BF &amp; prelacteal'!$C$229:$C$416</c:f>
              <c:numCache>
                <c:formatCode>General</c:formatCode>
                <c:ptCount val="188"/>
                <c:pt idx="0">
                  <c:v>1995.25</c:v>
                </c:pt>
                <c:pt idx="1">
                  <c:v>1995.3333333333333</c:v>
                </c:pt>
                <c:pt idx="2">
                  <c:v>1995.4166666666667</c:v>
                </c:pt>
                <c:pt idx="3">
                  <c:v>1995.5</c:v>
                </c:pt>
                <c:pt idx="4">
                  <c:v>1995.5833333333333</c:v>
                </c:pt>
                <c:pt idx="5">
                  <c:v>1995.6666666666667</c:v>
                </c:pt>
                <c:pt idx="6">
                  <c:v>1995.75</c:v>
                </c:pt>
                <c:pt idx="7">
                  <c:v>1995.8333333333333</c:v>
                </c:pt>
                <c:pt idx="8">
                  <c:v>1995.9166666666667</c:v>
                </c:pt>
                <c:pt idx="9">
                  <c:v>1996</c:v>
                </c:pt>
                <c:pt idx="10">
                  <c:v>1996.0833333333333</c:v>
                </c:pt>
                <c:pt idx="11">
                  <c:v>1996.1666666666667</c:v>
                </c:pt>
                <c:pt idx="12">
                  <c:v>1996.25</c:v>
                </c:pt>
                <c:pt idx="13">
                  <c:v>1996.3333333333333</c:v>
                </c:pt>
                <c:pt idx="14">
                  <c:v>1996.4166666666667</c:v>
                </c:pt>
                <c:pt idx="15">
                  <c:v>1996.5</c:v>
                </c:pt>
                <c:pt idx="16">
                  <c:v>1996.5833333333333</c:v>
                </c:pt>
                <c:pt idx="17">
                  <c:v>1996.6666666666667</c:v>
                </c:pt>
                <c:pt idx="18">
                  <c:v>1996.75</c:v>
                </c:pt>
                <c:pt idx="19">
                  <c:v>1996.8333333333333</c:v>
                </c:pt>
                <c:pt idx="20">
                  <c:v>1996.9166666666667</c:v>
                </c:pt>
                <c:pt idx="21">
                  <c:v>1997</c:v>
                </c:pt>
                <c:pt idx="22">
                  <c:v>1997.0833333333333</c:v>
                </c:pt>
                <c:pt idx="23">
                  <c:v>1997.1666666666667</c:v>
                </c:pt>
                <c:pt idx="24">
                  <c:v>1997.25</c:v>
                </c:pt>
                <c:pt idx="25">
                  <c:v>1997.3333333333333</c:v>
                </c:pt>
                <c:pt idx="26">
                  <c:v>1997.4166666666667</c:v>
                </c:pt>
                <c:pt idx="27">
                  <c:v>1997.5</c:v>
                </c:pt>
                <c:pt idx="28">
                  <c:v>1997.5833333333333</c:v>
                </c:pt>
                <c:pt idx="29">
                  <c:v>1997.6666666666667</c:v>
                </c:pt>
                <c:pt idx="30">
                  <c:v>1997.75</c:v>
                </c:pt>
                <c:pt idx="31">
                  <c:v>1997.8333333333333</c:v>
                </c:pt>
                <c:pt idx="32">
                  <c:v>1997.9166666666667</c:v>
                </c:pt>
                <c:pt idx="33">
                  <c:v>1998</c:v>
                </c:pt>
                <c:pt idx="34">
                  <c:v>1998.0833333333333</c:v>
                </c:pt>
                <c:pt idx="35">
                  <c:v>1998.1666666666667</c:v>
                </c:pt>
                <c:pt idx="36">
                  <c:v>1998.25</c:v>
                </c:pt>
                <c:pt idx="37">
                  <c:v>1998.3333333333333</c:v>
                </c:pt>
                <c:pt idx="38">
                  <c:v>1998.4166666666667</c:v>
                </c:pt>
                <c:pt idx="39">
                  <c:v>1998.5</c:v>
                </c:pt>
                <c:pt idx="40">
                  <c:v>1998.5833333333333</c:v>
                </c:pt>
                <c:pt idx="41">
                  <c:v>1998.6666666666667</c:v>
                </c:pt>
                <c:pt idx="42">
                  <c:v>1998.75</c:v>
                </c:pt>
                <c:pt idx="43">
                  <c:v>1998.8333333333333</c:v>
                </c:pt>
                <c:pt idx="44">
                  <c:v>1998.9166666666667</c:v>
                </c:pt>
                <c:pt idx="45">
                  <c:v>1999</c:v>
                </c:pt>
                <c:pt idx="46">
                  <c:v>1999.0833333333333</c:v>
                </c:pt>
                <c:pt idx="47">
                  <c:v>1999.1666666666667</c:v>
                </c:pt>
                <c:pt idx="48">
                  <c:v>1999.25</c:v>
                </c:pt>
                <c:pt idx="49">
                  <c:v>1999.3333333333333</c:v>
                </c:pt>
                <c:pt idx="50">
                  <c:v>1999.4166666666667</c:v>
                </c:pt>
                <c:pt idx="51">
                  <c:v>1999.5</c:v>
                </c:pt>
                <c:pt idx="52">
                  <c:v>1999.5833333333333</c:v>
                </c:pt>
                <c:pt idx="53">
                  <c:v>1999.6666666666667</c:v>
                </c:pt>
                <c:pt idx="54">
                  <c:v>1999.75</c:v>
                </c:pt>
                <c:pt idx="55">
                  <c:v>1999.8333333333333</c:v>
                </c:pt>
                <c:pt idx="56">
                  <c:v>1999.9166666666667</c:v>
                </c:pt>
                <c:pt idx="57">
                  <c:v>2000</c:v>
                </c:pt>
                <c:pt idx="58">
                  <c:v>2000.0833333333333</c:v>
                </c:pt>
                <c:pt idx="59">
                  <c:v>2000.1666666666667</c:v>
                </c:pt>
                <c:pt idx="60">
                  <c:v>2000.25</c:v>
                </c:pt>
                <c:pt idx="61">
                  <c:v>2000.3333333333333</c:v>
                </c:pt>
                <c:pt idx="62">
                  <c:v>2000.4166666666667</c:v>
                </c:pt>
                <c:pt idx="63">
                  <c:v>2000.5</c:v>
                </c:pt>
                <c:pt idx="64">
                  <c:v>2000.5833333333333</c:v>
                </c:pt>
                <c:pt idx="65">
                  <c:v>2000.8333333333333</c:v>
                </c:pt>
                <c:pt idx="66">
                  <c:v>2000.9166666666667</c:v>
                </c:pt>
                <c:pt idx="67">
                  <c:v>2001</c:v>
                </c:pt>
                <c:pt idx="68">
                  <c:v>2001.0833333333333</c:v>
                </c:pt>
                <c:pt idx="69">
                  <c:v>2001.1666666666667</c:v>
                </c:pt>
                <c:pt idx="70">
                  <c:v>2001.25</c:v>
                </c:pt>
                <c:pt idx="71">
                  <c:v>2001.3333333333333</c:v>
                </c:pt>
                <c:pt idx="72">
                  <c:v>2001.4166666666667</c:v>
                </c:pt>
                <c:pt idx="73">
                  <c:v>2001.5</c:v>
                </c:pt>
                <c:pt idx="74">
                  <c:v>2001.5833333333333</c:v>
                </c:pt>
                <c:pt idx="75">
                  <c:v>2001.6666666666667</c:v>
                </c:pt>
                <c:pt idx="76">
                  <c:v>2001.75</c:v>
                </c:pt>
                <c:pt idx="77">
                  <c:v>2001.8333333333333</c:v>
                </c:pt>
                <c:pt idx="78">
                  <c:v>2001.9166666666667</c:v>
                </c:pt>
                <c:pt idx="79">
                  <c:v>2002</c:v>
                </c:pt>
                <c:pt idx="80">
                  <c:v>2002.0833333333333</c:v>
                </c:pt>
                <c:pt idx="81">
                  <c:v>2002.1666666666667</c:v>
                </c:pt>
                <c:pt idx="82">
                  <c:v>2002.25</c:v>
                </c:pt>
                <c:pt idx="83">
                  <c:v>2002.3333333333333</c:v>
                </c:pt>
                <c:pt idx="84">
                  <c:v>2002.4166666666667</c:v>
                </c:pt>
                <c:pt idx="85">
                  <c:v>2002.5</c:v>
                </c:pt>
                <c:pt idx="86">
                  <c:v>2002.5833333333333</c:v>
                </c:pt>
                <c:pt idx="87">
                  <c:v>2002.6666666666667</c:v>
                </c:pt>
                <c:pt idx="88">
                  <c:v>2002.75</c:v>
                </c:pt>
                <c:pt idx="89">
                  <c:v>2002.8333333333333</c:v>
                </c:pt>
                <c:pt idx="90">
                  <c:v>2002.9166666666667</c:v>
                </c:pt>
                <c:pt idx="91">
                  <c:v>2003</c:v>
                </c:pt>
                <c:pt idx="92">
                  <c:v>2003.0833333333333</c:v>
                </c:pt>
                <c:pt idx="93">
                  <c:v>2003.1666666666667</c:v>
                </c:pt>
                <c:pt idx="94">
                  <c:v>2003.25</c:v>
                </c:pt>
                <c:pt idx="95">
                  <c:v>2003.3333333333333</c:v>
                </c:pt>
                <c:pt idx="96">
                  <c:v>2003.4166666666667</c:v>
                </c:pt>
                <c:pt idx="97">
                  <c:v>2003.5</c:v>
                </c:pt>
                <c:pt idx="98">
                  <c:v>2003.5833333333333</c:v>
                </c:pt>
                <c:pt idx="99">
                  <c:v>2003.6666666666667</c:v>
                </c:pt>
                <c:pt idx="100">
                  <c:v>2003.75</c:v>
                </c:pt>
                <c:pt idx="101">
                  <c:v>2003.8333333333333</c:v>
                </c:pt>
                <c:pt idx="102">
                  <c:v>2003.9166666666667</c:v>
                </c:pt>
                <c:pt idx="103">
                  <c:v>2004</c:v>
                </c:pt>
                <c:pt idx="104">
                  <c:v>2004.0833333333333</c:v>
                </c:pt>
                <c:pt idx="105">
                  <c:v>2004.1666666666667</c:v>
                </c:pt>
                <c:pt idx="106">
                  <c:v>2004.25</c:v>
                </c:pt>
                <c:pt idx="107">
                  <c:v>2004.3333333333333</c:v>
                </c:pt>
                <c:pt idx="108">
                  <c:v>2004.4166666666667</c:v>
                </c:pt>
                <c:pt idx="109">
                  <c:v>2004.5</c:v>
                </c:pt>
                <c:pt idx="110">
                  <c:v>2004.5833333333333</c:v>
                </c:pt>
                <c:pt idx="111">
                  <c:v>2004.6666666666667</c:v>
                </c:pt>
                <c:pt idx="112">
                  <c:v>2004.75</c:v>
                </c:pt>
                <c:pt idx="113">
                  <c:v>2004.8333333333333</c:v>
                </c:pt>
                <c:pt idx="114">
                  <c:v>2004.9166666666667</c:v>
                </c:pt>
                <c:pt idx="115">
                  <c:v>2005</c:v>
                </c:pt>
                <c:pt idx="116">
                  <c:v>2005.0833333333333</c:v>
                </c:pt>
                <c:pt idx="117">
                  <c:v>2005.1666666666667</c:v>
                </c:pt>
                <c:pt idx="118">
                  <c:v>2005.25</c:v>
                </c:pt>
                <c:pt idx="119">
                  <c:v>2005.3333333333333</c:v>
                </c:pt>
                <c:pt idx="120">
                  <c:v>2005.4166666666667</c:v>
                </c:pt>
                <c:pt idx="121">
                  <c:v>2005.5</c:v>
                </c:pt>
                <c:pt idx="122">
                  <c:v>2005.5833333333333</c:v>
                </c:pt>
                <c:pt idx="123">
                  <c:v>2005.6666666666667</c:v>
                </c:pt>
                <c:pt idx="124">
                  <c:v>2005.75</c:v>
                </c:pt>
                <c:pt idx="125">
                  <c:v>2005.8333333333333</c:v>
                </c:pt>
                <c:pt idx="126">
                  <c:v>2005.9166666666667</c:v>
                </c:pt>
                <c:pt idx="127">
                  <c:v>2006</c:v>
                </c:pt>
                <c:pt idx="128">
                  <c:v>2006.0833333333333</c:v>
                </c:pt>
                <c:pt idx="129">
                  <c:v>2006.1666666666667</c:v>
                </c:pt>
                <c:pt idx="130">
                  <c:v>2006.25</c:v>
                </c:pt>
                <c:pt idx="131">
                  <c:v>2006.3333333333333</c:v>
                </c:pt>
                <c:pt idx="132">
                  <c:v>2006.4166666666667</c:v>
                </c:pt>
                <c:pt idx="133">
                  <c:v>2006.5</c:v>
                </c:pt>
                <c:pt idx="134">
                  <c:v>2006.5833333333333</c:v>
                </c:pt>
                <c:pt idx="135">
                  <c:v>2006.6666666666667</c:v>
                </c:pt>
                <c:pt idx="136">
                  <c:v>2006.75</c:v>
                </c:pt>
                <c:pt idx="137">
                  <c:v>2006.8333333333333</c:v>
                </c:pt>
                <c:pt idx="138">
                  <c:v>2006.9166666666667</c:v>
                </c:pt>
                <c:pt idx="139">
                  <c:v>2007</c:v>
                </c:pt>
                <c:pt idx="140">
                  <c:v>2007.0833333333333</c:v>
                </c:pt>
                <c:pt idx="141">
                  <c:v>2007.1666666666667</c:v>
                </c:pt>
                <c:pt idx="142">
                  <c:v>2007.25</c:v>
                </c:pt>
                <c:pt idx="143">
                  <c:v>2007.3333333333333</c:v>
                </c:pt>
                <c:pt idx="144">
                  <c:v>2007.4166666666667</c:v>
                </c:pt>
                <c:pt idx="145">
                  <c:v>2007.5</c:v>
                </c:pt>
                <c:pt idx="146">
                  <c:v>2007.5833333333333</c:v>
                </c:pt>
                <c:pt idx="147">
                  <c:v>2007.6666666666667</c:v>
                </c:pt>
                <c:pt idx="148">
                  <c:v>2007.75</c:v>
                </c:pt>
                <c:pt idx="149">
                  <c:v>2007.8333333333333</c:v>
                </c:pt>
                <c:pt idx="150">
                  <c:v>2007.9166666666667</c:v>
                </c:pt>
                <c:pt idx="151">
                  <c:v>2008</c:v>
                </c:pt>
                <c:pt idx="152">
                  <c:v>2008.0833333333333</c:v>
                </c:pt>
                <c:pt idx="153">
                  <c:v>2008.1666666666667</c:v>
                </c:pt>
                <c:pt idx="154">
                  <c:v>2008.25</c:v>
                </c:pt>
                <c:pt idx="155">
                  <c:v>2008.3333333333333</c:v>
                </c:pt>
                <c:pt idx="156">
                  <c:v>2008.4166666666667</c:v>
                </c:pt>
                <c:pt idx="157">
                  <c:v>2008.5</c:v>
                </c:pt>
                <c:pt idx="158">
                  <c:v>2008.5833333333333</c:v>
                </c:pt>
                <c:pt idx="159">
                  <c:v>2008.6666666666667</c:v>
                </c:pt>
                <c:pt idx="160">
                  <c:v>2008.75</c:v>
                </c:pt>
                <c:pt idx="161">
                  <c:v>2008.8333333333333</c:v>
                </c:pt>
                <c:pt idx="162">
                  <c:v>2008.9166666666667</c:v>
                </c:pt>
                <c:pt idx="163">
                  <c:v>2009</c:v>
                </c:pt>
                <c:pt idx="164">
                  <c:v>2009.0833333333333</c:v>
                </c:pt>
                <c:pt idx="165">
                  <c:v>2009.1666666666667</c:v>
                </c:pt>
                <c:pt idx="166">
                  <c:v>2009.25</c:v>
                </c:pt>
                <c:pt idx="167">
                  <c:v>2009.3333333333333</c:v>
                </c:pt>
                <c:pt idx="168">
                  <c:v>2009.4166666666667</c:v>
                </c:pt>
                <c:pt idx="169">
                  <c:v>2009.5</c:v>
                </c:pt>
                <c:pt idx="170">
                  <c:v>2009.5833333333333</c:v>
                </c:pt>
                <c:pt idx="171">
                  <c:v>2009.6666666666667</c:v>
                </c:pt>
                <c:pt idx="172">
                  <c:v>2009.75</c:v>
                </c:pt>
                <c:pt idx="173">
                  <c:v>2009.8333333333333</c:v>
                </c:pt>
                <c:pt idx="174">
                  <c:v>2009.9166666666667</c:v>
                </c:pt>
                <c:pt idx="175">
                  <c:v>2010</c:v>
                </c:pt>
                <c:pt idx="176">
                  <c:v>2010.0833333333333</c:v>
                </c:pt>
                <c:pt idx="177">
                  <c:v>2010.1666666666667</c:v>
                </c:pt>
                <c:pt idx="178">
                  <c:v>2010.25</c:v>
                </c:pt>
                <c:pt idx="179">
                  <c:v>2010.3333333333333</c:v>
                </c:pt>
                <c:pt idx="180">
                  <c:v>2010.4166666666667</c:v>
                </c:pt>
                <c:pt idx="181">
                  <c:v>2010.5</c:v>
                </c:pt>
                <c:pt idx="182">
                  <c:v>2010.5833333333333</c:v>
                </c:pt>
                <c:pt idx="183">
                  <c:v>2010.6666666666667</c:v>
                </c:pt>
                <c:pt idx="184">
                  <c:v>2010.75</c:v>
                </c:pt>
                <c:pt idx="185">
                  <c:v>2010.8333333333333</c:v>
                </c:pt>
                <c:pt idx="186">
                  <c:v>2010.9166666666667</c:v>
                </c:pt>
                <c:pt idx="187">
                  <c:v>2011</c:v>
                </c:pt>
              </c:numCache>
            </c:numRef>
          </c:xVal>
          <c:yVal>
            <c:numRef>
              <c:f>'3.1 Early BF &amp; prelacteal'!$F$229:$F$416</c:f>
              <c:numCache>
                <c:formatCode>General</c:formatCode>
                <c:ptCount val="188"/>
                <c:pt idx="0">
                  <c:v>0.98605399999999999</c:v>
                </c:pt>
                <c:pt idx="1">
                  <c:v>1</c:v>
                </c:pt>
                <c:pt idx="2">
                  <c:v>1</c:v>
                </c:pt>
                <c:pt idx="3">
                  <c:v>0.97655340000000002</c:v>
                </c:pt>
                <c:pt idx="4">
                  <c:v>0.99246590000000001</c:v>
                </c:pt>
                <c:pt idx="5">
                  <c:v>0.97795609999999999</c:v>
                </c:pt>
                <c:pt idx="6">
                  <c:v>0.9763271</c:v>
                </c:pt>
                <c:pt idx="7">
                  <c:v>0.91556590000000004</c:v>
                </c:pt>
                <c:pt idx="8">
                  <c:v>0.93217139999999998</c:v>
                </c:pt>
                <c:pt idx="9">
                  <c:v>0.89110780000000001</c:v>
                </c:pt>
                <c:pt idx="10">
                  <c:v>0.95149249999999996</c:v>
                </c:pt>
                <c:pt idx="11">
                  <c:v>0.91965110000000005</c:v>
                </c:pt>
                <c:pt idx="12">
                  <c:v>0.91122429999999999</c:v>
                </c:pt>
                <c:pt idx="13">
                  <c:v>0.96263869999999996</c:v>
                </c:pt>
                <c:pt idx="14">
                  <c:v>0.9754448</c:v>
                </c:pt>
                <c:pt idx="15">
                  <c:v>1</c:v>
                </c:pt>
                <c:pt idx="16">
                  <c:v>0.90579089999999995</c:v>
                </c:pt>
                <c:pt idx="17">
                  <c:v>0.91792390000000001</c:v>
                </c:pt>
                <c:pt idx="18">
                  <c:v>0.93338790000000005</c:v>
                </c:pt>
                <c:pt idx="19">
                  <c:v>0.98203390000000002</c:v>
                </c:pt>
                <c:pt idx="20">
                  <c:v>0.94578329999999999</c:v>
                </c:pt>
                <c:pt idx="21">
                  <c:v>0.9248402</c:v>
                </c:pt>
                <c:pt idx="22">
                  <c:v>0.93633659999999996</c:v>
                </c:pt>
                <c:pt idx="23">
                  <c:v>0.95068609999999998</c:v>
                </c:pt>
                <c:pt idx="24">
                  <c:v>0.94825230000000005</c:v>
                </c:pt>
                <c:pt idx="25">
                  <c:v>0.93291659999999998</c:v>
                </c:pt>
                <c:pt idx="26">
                  <c:v>0.97547260000000002</c:v>
                </c:pt>
                <c:pt idx="27">
                  <c:v>0.9559474</c:v>
                </c:pt>
                <c:pt idx="28">
                  <c:v>0.96327790000000002</c:v>
                </c:pt>
                <c:pt idx="29">
                  <c:v>0.94738670000000003</c:v>
                </c:pt>
                <c:pt idx="30">
                  <c:v>0.93584129999999999</c:v>
                </c:pt>
                <c:pt idx="31">
                  <c:v>0.94353759999999998</c:v>
                </c:pt>
                <c:pt idx="32">
                  <c:v>0.93865390000000004</c:v>
                </c:pt>
                <c:pt idx="33">
                  <c:v>0.97473339999999997</c:v>
                </c:pt>
                <c:pt idx="34">
                  <c:v>0.95785580000000003</c:v>
                </c:pt>
                <c:pt idx="35">
                  <c:v>0.9591248</c:v>
                </c:pt>
                <c:pt idx="36">
                  <c:v>0.92148909999999995</c:v>
                </c:pt>
                <c:pt idx="37">
                  <c:v>0.96417050000000004</c:v>
                </c:pt>
                <c:pt idx="38">
                  <c:v>0.93821169999999998</c:v>
                </c:pt>
                <c:pt idx="39">
                  <c:v>0.93857100000000004</c:v>
                </c:pt>
                <c:pt idx="40">
                  <c:v>0.94729169999999996</c:v>
                </c:pt>
                <c:pt idx="41">
                  <c:v>0.9439459</c:v>
                </c:pt>
                <c:pt idx="42">
                  <c:v>0.92102470000000003</c:v>
                </c:pt>
                <c:pt idx="43">
                  <c:v>0.97921639999999999</c:v>
                </c:pt>
                <c:pt idx="44">
                  <c:v>0.96704190000000001</c:v>
                </c:pt>
                <c:pt idx="45">
                  <c:v>0.91595749999999998</c:v>
                </c:pt>
                <c:pt idx="46">
                  <c:v>0.95321230000000001</c:v>
                </c:pt>
                <c:pt idx="47">
                  <c:v>0.93259460000000005</c:v>
                </c:pt>
                <c:pt idx="48">
                  <c:v>0.95070589999999999</c:v>
                </c:pt>
                <c:pt idx="49">
                  <c:v>0.93822209999999995</c:v>
                </c:pt>
                <c:pt idx="50">
                  <c:v>0.94225020000000004</c:v>
                </c:pt>
                <c:pt idx="51">
                  <c:v>0.93290790000000001</c:v>
                </c:pt>
                <c:pt idx="52">
                  <c:v>0.95871859999999998</c:v>
                </c:pt>
                <c:pt idx="53">
                  <c:v>0.93039280000000002</c:v>
                </c:pt>
                <c:pt idx="54">
                  <c:v>0.90515939999999995</c:v>
                </c:pt>
                <c:pt idx="55">
                  <c:v>0.91848569999999996</c:v>
                </c:pt>
                <c:pt idx="56">
                  <c:v>0.90481719999999999</c:v>
                </c:pt>
                <c:pt idx="57">
                  <c:v>0.93119099999999999</c:v>
                </c:pt>
                <c:pt idx="58">
                  <c:v>0.97273719999999997</c:v>
                </c:pt>
                <c:pt idx="59">
                  <c:v>0.94541140000000001</c:v>
                </c:pt>
                <c:pt idx="60">
                  <c:v>0.90628520000000001</c:v>
                </c:pt>
                <c:pt idx="61">
                  <c:v>0.92483820000000005</c:v>
                </c:pt>
                <c:pt idx="62">
                  <c:v>0.87327449999999995</c:v>
                </c:pt>
                <c:pt idx="63">
                  <c:v>0.73098180000000001</c:v>
                </c:pt>
                <c:pt idx="64">
                  <c:v>1</c:v>
                </c:pt>
                <c:pt idx="65">
                  <c:v>0.75690900000000005</c:v>
                </c:pt>
                <c:pt idx="66">
                  <c:v>0.64882169999999995</c:v>
                </c:pt>
                <c:pt idx="67">
                  <c:v>0.68730369999999996</c:v>
                </c:pt>
                <c:pt idx="68">
                  <c:v>0.62606119999999998</c:v>
                </c:pt>
                <c:pt idx="69">
                  <c:v>0.81393289999999996</c:v>
                </c:pt>
                <c:pt idx="70">
                  <c:v>0.74195060000000002</c:v>
                </c:pt>
                <c:pt idx="71">
                  <c:v>0.70998969999999995</c:v>
                </c:pt>
                <c:pt idx="72">
                  <c:v>0.79099459999999999</c:v>
                </c:pt>
                <c:pt idx="73">
                  <c:v>0.58113020000000004</c:v>
                </c:pt>
                <c:pt idx="74">
                  <c:v>0.70724900000000002</c:v>
                </c:pt>
                <c:pt idx="75">
                  <c:v>0.79135679999999997</c:v>
                </c:pt>
                <c:pt idx="76">
                  <c:v>0.72258270000000002</c:v>
                </c:pt>
                <c:pt idx="77">
                  <c:v>0.66827610000000004</c:v>
                </c:pt>
                <c:pt idx="78">
                  <c:v>0.68559650000000005</c:v>
                </c:pt>
                <c:pt idx="79">
                  <c:v>0.627162</c:v>
                </c:pt>
                <c:pt idx="80">
                  <c:v>0.69107929999999995</c:v>
                </c:pt>
                <c:pt idx="81">
                  <c:v>0.62832299999999996</c:v>
                </c:pt>
                <c:pt idx="82">
                  <c:v>0.69274979999999997</c:v>
                </c:pt>
                <c:pt idx="83">
                  <c:v>0.75580259999999999</c:v>
                </c:pt>
                <c:pt idx="84">
                  <c:v>0.68449159999999998</c:v>
                </c:pt>
                <c:pt idx="85">
                  <c:v>0.71967009999999998</c:v>
                </c:pt>
                <c:pt idx="86">
                  <c:v>0.71275750000000004</c:v>
                </c:pt>
                <c:pt idx="87">
                  <c:v>0.690527</c:v>
                </c:pt>
                <c:pt idx="88">
                  <c:v>0.64273740000000001</c:v>
                </c:pt>
                <c:pt idx="89">
                  <c:v>0.59669269999999996</c:v>
                </c:pt>
                <c:pt idx="90">
                  <c:v>0.72934650000000001</c:v>
                </c:pt>
                <c:pt idx="91">
                  <c:v>0.66334590000000004</c:v>
                </c:pt>
                <c:pt idx="92">
                  <c:v>0.73505350000000003</c:v>
                </c:pt>
                <c:pt idx="93">
                  <c:v>0.6335693</c:v>
                </c:pt>
                <c:pt idx="94">
                  <c:v>0.59535830000000001</c:v>
                </c:pt>
                <c:pt idx="95">
                  <c:v>0.68709379999999998</c:v>
                </c:pt>
                <c:pt idx="96">
                  <c:v>0.61640640000000002</c:v>
                </c:pt>
                <c:pt idx="97">
                  <c:v>0.62247050000000004</c:v>
                </c:pt>
                <c:pt idx="98">
                  <c:v>0.66803349999999995</c:v>
                </c:pt>
                <c:pt idx="99">
                  <c:v>0.77973179999999997</c:v>
                </c:pt>
                <c:pt idx="100">
                  <c:v>0.67998800000000004</c:v>
                </c:pt>
                <c:pt idx="101">
                  <c:v>0.65372819999999998</c:v>
                </c:pt>
                <c:pt idx="102">
                  <c:v>0.74486640000000004</c:v>
                </c:pt>
                <c:pt idx="103">
                  <c:v>0.57781749999999998</c:v>
                </c:pt>
                <c:pt idx="104">
                  <c:v>0.59963770000000005</c:v>
                </c:pt>
                <c:pt idx="105">
                  <c:v>0.46428190000000003</c:v>
                </c:pt>
                <c:pt idx="106">
                  <c:v>0.65929210000000005</c:v>
                </c:pt>
                <c:pt idx="107">
                  <c:v>0.69672069999999997</c:v>
                </c:pt>
                <c:pt idx="108">
                  <c:v>0.4722093</c:v>
                </c:pt>
                <c:pt idx="109">
                  <c:v>0.4311875</c:v>
                </c:pt>
                <c:pt idx="110">
                  <c:v>0.53230889999999997</c:v>
                </c:pt>
                <c:pt idx="111">
                  <c:v>0.50898169999999998</c:v>
                </c:pt>
                <c:pt idx="112">
                  <c:v>0.51458959999999998</c:v>
                </c:pt>
                <c:pt idx="113">
                  <c:v>0.36954330000000002</c:v>
                </c:pt>
                <c:pt idx="114">
                  <c:v>0.46900900000000001</c:v>
                </c:pt>
                <c:pt idx="115">
                  <c:v>0.4455036</c:v>
                </c:pt>
                <c:pt idx="116">
                  <c:v>0.41080179999999999</c:v>
                </c:pt>
                <c:pt idx="117">
                  <c:v>0.45725900000000003</c:v>
                </c:pt>
                <c:pt idx="118">
                  <c:v>0.49174699999999999</c:v>
                </c:pt>
                <c:pt idx="119">
                  <c:v>0.38650499999999999</c:v>
                </c:pt>
                <c:pt idx="120">
                  <c:v>0.38340449999999998</c:v>
                </c:pt>
                <c:pt idx="121">
                  <c:v>0.33278469999999999</c:v>
                </c:pt>
                <c:pt idx="122">
                  <c:v>0.36810660000000001</c:v>
                </c:pt>
                <c:pt idx="123">
                  <c:v>0.27802280000000001</c:v>
                </c:pt>
                <c:pt idx="124">
                  <c:v>0.30092760000000002</c:v>
                </c:pt>
                <c:pt idx="125">
                  <c:v>0.28444619999999998</c:v>
                </c:pt>
                <c:pt idx="126">
                  <c:v>0.24168510000000001</c:v>
                </c:pt>
                <c:pt idx="127">
                  <c:v>0.25701570000000001</c:v>
                </c:pt>
                <c:pt idx="128">
                  <c:v>0.3064326</c:v>
                </c:pt>
                <c:pt idx="129">
                  <c:v>0.28013139999999997</c:v>
                </c:pt>
                <c:pt idx="130">
                  <c:v>0.27863130000000003</c:v>
                </c:pt>
                <c:pt idx="131">
                  <c:v>0.27357530000000002</c:v>
                </c:pt>
                <c:pt idx="132">
                  <c:v>0.34980480000000003</c:v>
                </c:pt>
                <c:pt idx="133">
                  <c:v>0.2712425</c:v>
                </c:pt>
                <c:pt idx="134">
                  <c:v>0.19777400000000001</c:v>
                </c:pt>
                <c:pt idx="135">
                  <c:v>0.14725859999999999</c:v>
                </c:pt>
                <c:pt idx="136">
                  <c:v>0.22244149999999999</c:v>
                </c:pt>
                <c:pt idx="137">
                  <c:v>0.17703199999999999</c:v>
                </c:pt>
                <c:pt idx="138">
                  <c:v>0.24520449999999999</c:v>
                </c:pt>
                <c:pt idx="139">
                  <c:v>0.30031390000000002</c:v>
                </c:pt>
                <c:pt idx="140">
                  <c:v>0.22366079999999999</c:v>
                </c:pt>
                <c:pt idx="141">
                  <c:v>0.18581919999999999</c:v>
                </c:pt>
                <c:pt idx="142">
                  <c:v>0.2095651</c:v>
                </c:pt>
                <c:pt idx="143">
                  <c:v>0.17591570000000001</c:v>
                </c:pt>
                <c:pt idx="144">
                  <c:v>0.18666559999999999</c:v>
                </c:pt>
                <c:pt idx="145">
                  <c:v>0.20369590000000001</c:v>
                </c:pt>
                <c:pt idx="146">
                  <c:v>0.27532060000000003</c:v>
                </c:pt>
                <c:pt idx="147">
                  <c:v>0.29821409999999998</c:v>
                </c:pt>
                <c:pt idx="148">
                  <c:v>0.1922143</c:v>
                </c:pt>
                <c:pt idx="149">
                  <c:v>0.28973409999999999</c:v>
                </c:pt>
                <c:pt idx="150">
                  <c:v>0.31314039999999999</c:v>
                </c:pt>
                <c:pt idx="151">
                  <c:v>0.18655620000000001</c:v>
                </c:pt>
                <c:pt idx="152">
                  <c:v>0.12950700000000001</c:v>
                </c:pt>
                <c:pt idx="153">
                  <c:v>0.17508080000000001</c:v>
                </c:pt>
                <c:pt idx="154">
                  <c:v>0.22301460000000001</c:v>
                </c:pt>
                <c:pt idx="155">
                  <c:v>0.30330629999999997</c:v>
                </c:pt>
                <c:pt idx="156">
                  <c:v>0.20455780000000001</c:v>
                </c:pt>
                <c:pt idx="157">
                  <c:v>0.1699811</c:v>
                </c:pt>
                <c:pt idx="158">
                  <c:v>0.24710550000000001</c:v>
                </c:pt>
                <c:pt idx="159">
                  <c:v>0.13105510000000001</c:v>
                </c:pt>
                <c:pt idx="160">
                  <c:v>0.1287896</c:v>
                </c:pt>
                <c:pt idx="161">
                  <c:v>0.2379597</c:v>
                </c:pt>
                <c:pt idx="162">
                  <c:v>0.2189342</c:v>
                </c:pt>
                <c:pt idx="163">
                  <c:v>0.18996579999999999</c:v>
                </c:pt>
                <c:pt idx="164">
                  <c:v>0.29278300000000002</c:v>
                </c:pt>
                <c:pt idx="165">
                  <c:v>0.1523361</c:v>
                </c:pt>
                <c:pt idx="166">
                  <c:v>0.19843459999999999</c:v>
                </c:pt>
                <c:pt idx="167">
                  <c:v>0.2101324</c:v>
                </c:pt>
                <c:pt idx="168">
                  <c:v>0.23790259999999999</c:v>
                </c:pt>
                <c:pt idx="169">
                  <c:v>0.22130069999999999</c:v>
                </c:pt>
                <c:pt idx="170">
                  <c:v>0.24494060000000001</c:v>
                </c:pt>
                <c:pt idx="171">
                  <c:v>0.25556109999999999</c:v>
                </c:pt>
                <c:pt idx="172">
                  <c:v>0.1534229</c:v>
                </c:pt>
                <c:pt idx="173">
                  <c:v>0.25329940000000001</c:v>
                </c:pt>
                <c:pt idx="174">
                  <c:v>0.10323010000000001</c:v>
                </c:pt>
                <c:pt idx="175">
                  <c:v>0.198043</c:v>
                </c:pt>
                <c:pt idx="176">
                  <c:v>0.2158437</c:v>
                </c:pt>
                <c:pt idx="177">
                  <c:v>0.20221810000000001</c:v>
                </c:pt>
                <c:pt idx="178">
                  <c:v>0.15523870000000001</c:v>
                </c:pt>
                <c:pt idx="179">
                  <c:v>0.20304829999999999</c:v>
                </c:pt>
                <c:pt idx="180">
                  <c:v>0.1096178</c:v>
                </c:pt>
                <c:pt idx="181">
                  <c:v>0.1181595</c:v>
                </c:pt>
                <c:pt idx="182">
                  <c:v>0.15778510000000001</c:v>
                </c:pt>
                <c:pt idx="183">
                  <c:v>0.14408199999999999</c:v>
                </c:pt>
                <c:pt idx="184">
                  <c:v>0.15219840000000001</c:v>
                </c:pt>
                <c:pt idx="185">
                  <c:v>0.14104990000000001</c:v>
                </c:pt>
                <c:pt idx="186">
                  <c:v>6.0557800000000002E-2</c:v>
                </c:pt>
                <c:pt idx="187">
                  <c:v>0.16606090000000001</c:v>
                </c:pt>
              </c:numCache>
            </c:numRef>
          </c:yVal>
          <c:smooth val="0"/>
        </c:ser>
        <c:dLbls>
          <c:showLegendKey val="0"/>
          <c:showVal val="0"/>
          <c:showCatName val="0"/>
          <c:showSerName val="0"/>
          <c:showPercent val="0"/>
          <c:showBubbleSize val="0"/>
        </c:dLbls>
        <c:axId val="265862144"/>
        <c:axId val="265872128"/>
      </c:scatterChart>
      <c:valAx>
        <c:axId val="265862144"/>
        <c:scaling>
          <c:orientation val="minMax"/>
        </c:scaling>
        <c:delete val="0"/>
        <c:axPos val="b"/>
        <c:numFmt formatCode="General" sourceLinked="1"/>
        <c:majorTickMark val="out"/>
        <c:minorTickMark val="none"/>
        <c:tickLblPos val="nextTo"/>
        <c:crossAx val="265872128"/>
        <c:crosses val="autoZero"/>
        <c:crossBetween val="midCat"/>
      </c:valAx>
      <c:valAx>
        <c:axId val="265872128"/>
        <c:scaling>
          <c:orientation val="minMax"/>
        </c:scaling>
        <c:delete val="0"/>
        <c:axPos val="l"/>
        <c:numFmt formatCode="General" sourceLinked="1"/>
        <c:majorTickMark val="out"/>
        <c:minorTickMark val="none"/>
        <c:tickLblPos val="nextTo"/>
        <c:crossAx val="265862144"/>
        <c:crosses val="autoZero"/>
        <c:crossBetween val="midCat"/>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'3.2 Formula'!$A$14</c:f>
              <c:strCache>
                <c:ptCount val="1"/>
                <c:pt idx="0">
                  <c:v>UrbanQ1</c:v>
                </c:pt>
              </c:strCache>
            </c:strRef>
          </c:tx>
          <c:spPr>
            <a:ln>
              <a:solidFill>
                <a:schemeClr val="accent3"/>
              </a:solidFill>
              <a:prstDash val="sysDot"/>
            </a:ln>
          </c:spPr>
          <c:marker>
            <c:symbol val="none"/>
          </c:marker>
          <c:cat>
            <c:numRef>
              <c:f>'3.2 Formula'!$B$3:$D$3</c:f>
              <c:numCache>
                <c:formatCode>General</c:formatCode>
                <c:ptCount val="3"/>
                <c:pt idx="0">
                  <c:v>2000</c:v>
                </c:pt>
                <c:pt idx="1">
                  <c:v>2005</c:v>
                </c:pt>
                <c:pt idx="2">
                  <c:v>2010</c:v>
                </c:pt>
              </c:numCache>
            </c:numRef>
          </c:cat>
          <c:val>
            <c:numRef>
              <c:f>'3.2 Formula'!$B$14:$D$14</c:f>
              <c:numCache>
                <c:formatCode>0.0</c:formatCode>
                <c:ptCount val="3"/>
                <c:pt idx="0">
                  <c:v>2.1</c:v>
                </c:pt>
                <c:pt idx="1">
                  <c:v>0</c:v>
                </c:pt>
                <c:pt idx="2">
                  <c:v>2</c:v>
                </c:pt>
              </c:numCache>
            </c:numRef>
          </c:val>
          <c:smooth val="0"/>
        </c:ser>
        <c:ser>
          <c:idx val="1"/>
          <c:order val="1"/>
          <c:tx>
            <c:strRef>
              <c:f>'3.2 Formula'!$A$15</c:f>
              <c:strCache>
                <c:ptCount val="1"/>
                <c:pt idx="0">
                  <c:v>UrbanQ5</c:v>
                </c:pt>
              </c:strCache>
            </c:strRef>
          </c:tx>
          <c:spPr>
            <a:ln>
              <a:solidFill>
                <a:schemeClr val="accent3"/>
              </a:solidFill>
            </a:ln>
          </c:spPr>
          <c:marker>
            <c:symbol val="none"/>
          </c:marker>
          <c:cat>
            <c:numRef>
              <c:f>'3.2 Formula'!$B$3:$D$3</c:f>
              <c:numCache>
                <c:formatCode>General</c:formatCode>
                <c:ptCount val="3"/>
                <c:pt idx="0">
                  <c:v>2000</c:v>
                </c:pt>
                <c:pt idx="1">
                  <c:v>2005</c:v>
                </c:pt>
                <c:pt idx="2">
                  <c:v>2010</c:v>
                </c:pt>
              </c:numCache>
            </c:numRef>
          </c:cat>
          <c:val>
            <c:numRef>
              <c:f>'3.2 Formula'!$B$15:$D$15</c:f>
              <c:numCache>
                <c:formatCode>0.0</c:formatCode>
                <c:ptCount val="3"/>
                <c:pt idx="0">
                  <c:v>30</c:v>
                </c:pt>
                <c:pt idx="1">
                  <c:v>31.6</c:v>
                </c:pt>
                <c:pt idx="2">
                  <c:v>37.799999999999997</c:v>
                </c:pt>
              </c:numCache>
            </c:numRef>
          </c:val>
          <c:smooth val="0"/>
        </c:ser>
        <c:ser>
          <c:idx val="2"/>
          <c:order val="2"/>
          <c:tx>
            <c:strRef>
              <c:f>'3.2 Formula'!$A$16</c:f>
              <c:strCache>
                <c:ptCount val="1"/>
                <c:pt idx="0">
                  <c:v>RuralQ1</c:v>
                </c:pt>
              </c:strCache>
            </c:strRef>
          </c:tx>
          <c:spPr>
            <a:ln>
              <a:solidFill>
                <a:schemeClr val="accent2"/>
              </a:solidFill>
              <a:prstDash val="sysDot"/>
            </a:ln>
          </c:spPr>
          <c:marker>
            <c:symbol val="none"/>
          </c:marker>
          <c:cat>
            <c:numRef>
              <c:f>'3.2 Formula'!$B$3:$D$3</c:f>
              <c:numCache>
                <c:formatCode>General</c:formatCode>
                <c:ptCount val="3"/>
                <c:pt idx="0">
                  <c:v>2000</c:v>
                </c:pt>
                <c:pt idx="1">
                  <c:v>2005</c:v>
                </c:pt>
                <c:pt idx="2">
                  <c:v>2010</c:v>
                </c:pt>
              </c:numCache>
            </c:numRef>
          </c:cat>
          <c:val>
            <c:numRef>
              <c:f>'3.2 Formula'!$B$16:$D$16</c:f>
              <c:numCache>
                <c:formatCode>0.0</c:formatCode>
                <c:ptCount val="3"/>
                <c:pt idx="0">
                  <c:v>1.1000000000000001</c:v>
                </c:pt>
                <c:pt idx="1">
                  <c:v>0.5</c:v>
                </c:pt>
                <c:pt idx="2">
                  <c:v>0.9</c:v>
                </c:pt>
              </c:numCache>
            </c:numRef>
          </c:val>
          <c:smooth val="0"/>
        </c:ser>
        <c:ser>
          <c:idx val="3"/>
          <c:order val="3"/>
          <c:tx>
            <c:strRef>
              <c:f>'3.2 Formula'!$A$17</c:f>
              <c:strCache>
                <c:ptCount val="1"/>
                <c:pt idx="0">
                  <c:v>RuralQ5</c:v>
                </c:pt>
              </c:strCache>
            </c:strRef>
          </c:tx>
          <c:spPr>
            <a:ln>
              <a:solidFill>
                <a:schemeClr val="accent2"/>
              </a:solidFill>
            </a:ln>
          </c:spPr>
          <c:marker>
            <c:symbol val="none"/>
          </c:marker>
          <c:cat>
            <c:numRef>
              <c:f>'3.2 Formula'!$B$3:$D$3</c:f>
              <c:numCache>
                <c:formatCode>General</c:formatCode>
                <c:ptCount val="3"/>
                <c:pt idx="0">
                  <c:v>2000</c:v>
                </c:pt>
                <c:pt idx="1">
                  <c:v>2005</c:v>
                </c:pt>
                <c:pt idx="2">
                  <c:v>2010</c:v>
                </c:pt>
              </c:numCache>
            </c:numRef>
          </c:cat>
          <c:val>
            <c:numRef>
              <c:f>'3.2 Formula'!$B$17:$D$17</c:f>
              <c:numCache>
                <c:formatCode>0.0</c:formatCode>
                <c:ptCount val="3"/>
                <c:pt idx="0">
                  <c:v>9.3000000000000007</c:v>
                </c:pt>
                <c:pt idx="1">
                  <c:v>19.5</c:v>
                </c:pt>
                <c:pt idx="2">
                  <c:v>20.5</c:v>
                </c:pt>
              </c:numCache>
            </c:numRef>
          </c:val>
          <c:smooth val="0"/>
        </c:ser>
        <c:dLbls>
          <c:showLegendKey val="0"/>
          <c:showVal val="0"/>
          <c:showCatName val="0"/>
          <c:showSerName val="0"/>
          <c:showPercent val="0"/>
          <c:showBubbleSize val="0"/>
        </c:dLbls>
        <c:marker val="1"/>
        <c:smooth val="0"/>
        <c:axId val="312699904"/>
        <c:axId val="312705792"/>
      </c:lineChart>
      <c:catAx>
        <c:axId val="312699904"/>
        <c:scaling>
          <c:orientation val="minMax"/>
        </c:scaling>
        <c:delete val="0"/>
        <c:axPos val="b"/>
        <c:numFmt formatCode="General" sourceLinked="1"/>
        <c:majorTickMark val="out"/>
        <c:minorTickMark val="none"/>
        <c:tickLblPos val="nextTo"/>
        <c:crossAx val="312705792"/>
        <c:crosses val="autoZero"/>
        <c:auto val="1"/>
        <c:lblAlgn val="ctr"/>
        <c:lblOffset val="100"/>
        <c:noMultiLvlLbl val="0"/>
      </c:catAx>
      <c:valAx>
        <c:axId val="312705792"/>
        <c:scaling>
          <c:orientation val="minMax"/>
        </c:scaling>
        <c:delete val="0"/>
        <c:axPos val="l"/>
        <c:numFmt formatCode="0.0" sourceLinked="1"/>
        <c:majorTickMark val="out"/>
        <c:minorTickMark val="none"/>
        <c:tickLblPos val="nextTo"/>
        <c:crossAx val="3126999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'3.2 Formula'!$A$23</c:f>
              <c:strCache>
                <c:ptCount val="1"/>
                <c:pt idx="0">
                  <c:v>TOTAL</c:v>
                </c:pt>
              </c:strCache>
            </c:strRef>
          </c:tx>
          <c:spPr>
            <a:solidFill>
              <a:schemeClr val="bg1">
                <a:lumMod val="75000"/>
              </a:schemeClr>
            </a:solidFill>
          </c:spPr>
          <c:invertIfNegative val="0"/>
          <c:cat>
            <c:strRef>
              <c:f>('3.2 Formula'!$C$21:$C$22,'3.2 Formula'!$F$21:$F$22,'3.2 Formula'!$I$21:$I$22)</c:f>
              <c:strCache>
                <c:ptCount val="3"/>
                <c:pt idx="0">
                  <c:v>6-23 mos</c:v>
                </c:pt>
                <c:pt idx="1">
                  <c:v>6-23 mos</c:v>
                </c:pt>
                <c:pt idx="2">
                  <c:v>6-23 mos</c:v>
                </c:pt>
              </c:strCache>
            </c:strRef>
          </c:cat>
          <c:val>
            <c:numRef>
              <c:f>('3.2 Formula'!$C$23,'3.2 Formula'!$F$23,'3.2 Formula'!$I$23)</c:f>
              <c:numCache>
                <c:formatCode>0.0</c:formatCode>
                <c:ptCount val="3"/>
                <c:pt idx="0">
                  <c:v>4.8</c:v>
                </c:pt>
                <c:pt idx="1">
                  <c:v>6.5</c:v>
                </c:pt>
                <c:pt idx="2">
                  <c:v>9.3000000000000007</c:v>
                </c:pt>
              </c:numCache>
            </c:numRef>
          </c:val>
        </c:ser>
        <c:dLbls>
          <c:showLegendKey val="0"/>
          <c:showVal val="0"/>
          <c:showCatName val="0"/>
          <c:showSerName val="0"/>
          <c:showPercent val="0"/>
          <c:showBubbleSize val="0"/>
        </c:dLbls>
        <c:gapWidth val="150"/>
        <c:axId val="246292480"/>
        <c:axId val="246294016"/>
      </c:barChart>
      <c:lineChart>
        <c:grouping val="standard"/>
        <c:varyColors val="0"/>
        <c:ser>
          <c:idx val="1"/>
          <c:order val="1"/>
          <c:tx>
            <c:strRef>
              <c:f>'3.2 Formula'!$A$24</c:f>
              <c:strCache>
                <c:ptCount val="1"/>
                <c:pt idx="0">
                  <c:v>urban</c:v>
                </c:pt>
              </c:strCache>
            </c:strRef>
          </c:tx>
          <c:spPr>
            <a:ln>
              <a:solidFill>
                <a:schemeClr val="accent3"/>
              </a:solidFill>
            </a:ln>
          </c:spPr>
          <c:marker>
            <c:symbol val="none"/>
          </c:marker>
          <c:cat>
            <c:strRef>
              <c:f>('3.2 Formula'!$C$21:$C$22,'3.2 Formula'!$F$21:$F$22,'3.2 Formula'!$I$21:$I$22)</c:f>
              <c:strCache>
                <c:ptCount val="3"/>
                <c:pt idx="0">
                  <c:v>6-23 mos</c:v>
                </c:pt>
                <c:pt idx="1">
                  <c:v>6-23 mos</c:v>
                </c:pt>
                <c:pt idx="2">
                  <c:v>6-23 mos</c:v>
                </c:pt>
              </c:strCache>
            </c:strRef>
          </c:cat>
          <c:val>
            <c:numRef>
              <c:f>('3.2 Formula'!$C$24,'3.2 Formula'!$F$24,'3.2 Formula'!$I$24)</c:f>
              <c:numCache>
                <c:formatCode>0.0</c:formatCode>
                <c:ptCount val="3"/>
                <c:pt idx="0">
                  <c:v>17.2</c:v>
                </c:pt>
                <c:pt idx="1">
                  <c:v>18.600000000000001</c:v>
                </c:pt>
                <c:pt idx="2">
                  <c:v>32.6</c:v>
                </c:pt>
              </c:numCache>
            </c:numRef>
          </c:val>
          <c:smooth val="0"/>
        </c:ser>
        <c:ser>
          <c:idx val="2"/>
          <c:order val="2"/>
          <c:tx>
            <c:strRef>
              <c:f>'3.2 Formula'!$A$25</c:f>
              <c:strCache>
                <c:ptCount val="1"/>
                <c:pt idx="0">
                  <c:v>rural</c:v>
                </c:pt>
              </c:strCache>
            </c:strRef>
          </c:tx>
          <c:spPr>
            <a:ln>
              <a:prstDash val="sysDash"/>
            </a:ln>
          </c:spPr>
          <c:marker>
            <c:symbol val="none"/>
          </c:marker>
          <c:cat>
            <c:strRef>
              <c:f>('3.2 Formula'!$C$21:$C$22,'3.2 Formula'!$F$21:$F$22,'3.2 Formula'!$I$21:$I$22)</c:f>
              <c:strCache>
                <c:ptCount val="3"/>
                <c:pt idx="0">
                  <c:v>6-23 mos</c:v>
                </c:pt>
                <c:pt idx="1">
                  <c:v>6-23 mos</c:v>
                </c:pt>
                <c:pt idx="2">
                  <c:v>6-23 mos</c:v>
                </c:pt>
              </c:strCache>
            </c:strRef>
          </c:cat>
          <c:val>
            <c:numRef>
              <c:f>('3.2 Formula'!$C$25,'3.2 Formula'!$F$25,'3.2 Formula'!$I$25)</c:f>
              <c:numCache>
                <c:formatCode>0.0</c:formatCode>
                <c:ptCount val="3"/>
                <c:pt idx="0">
                  <c:v>2.9</c:v>
                </c:pt>
                <c:pt idx="1">
                  <c:v>4.5</c:v>
                </c:pt>
                <c:pt idx="2">
                  <c:v>4.7</c:v>
                </c:pt>
              </c:numCache>
            </c:numRef>
          </c:val>
          <c:smooth val="0"/>
        </c:ser>
        <c:ser>
          <c:idx val="3"/>
          <c:order val="3"/>
          <c:tx>
            <c:strRef>
              <c:f>'3.2 Formula'!$A$26</c:f>
              <c:strCache>
                <c:ptCount val="1"/>
                <c:pt idx="0">
                  <c:v>Q5</c:v>
                </c:pt>
              </c:strCache>
            </c:strRef>
          </c:tx>
          <c:spPr>
            <a:ln>
              <a:solidFill>
                <a:schemeClr val="accent2"/>
              </a:solidFill>
            </a:ln>
          </c:spPr>
          <c:marker>
            <c:symbol val="none"/>
          </c:marker>
          <c:cat>
            <c:strRef>
              <c:f>('3.2 Formula'!$C$21:$C$22,'3.2 Formula'!$F$21:$F$22,'3.2 Formula'!$I$21:$I$22)</c:f>
              <c:strCache>
                <c:ptCount val="3"/>
                <c:pt idx="0">
                  <c:v>6-23 mos</c:v>
                </c:pt>
                <c:pt idx="1">
                  <c:v>6-23 mos</c:v>
                </c:pt>
                <c:pt idx="2">
                  <c:v>6-23 mos</c:v>
                </c:pt>
              </c:strCache>
            </c:strRef>
          </c:cat>
          <c:val>
            <c:numRef>
              <c:f>('3.2 Formula'!$C$26,'3.2 Formula'!$F$26,'3.2 Formula'!$I$26)</c:f>
              <c:numCache>
                <c:formatCode>0.0</c:formatCode>
                <c:ptCount val="3"/>
                <c:pt idx="0">
                  <c:v>21</c:v>
                </c:pt>
                <c:pt idx="1">
                  <c:v>25.3</c:v>
                </c:pt>
                <c:pt idx="2">
                  <c:v>34.700000000000003</c:v>
                </c:pt>
              </c:numCache>
            </c:numRef>
          </c:val>
          <c:smooth val="0"/>
        </c:ser>
        <c:ser>
          <c:idx val="4"/>
          <c:order val="4"/>
          <c:tx>
            <c:strRef>
              <c:f>'3.2 Formula'!$A$27</c:f>
              <c:strCache>
                <c:ptCount val="1"/>
                <c:pt idx="0">
                  <c:v>Q1</c:v>
                </c:pt>
              </c:strCache>
            </c:strRef>
          </c:tx>
          <c:spPr>
            <a:ln>
              <a:solidFill>
                <a:schemeClr val="accent2"/>
              </a:solidFill>
              <a:prstDash val="sysDash"/>
            </a:ln>
          </c:spPr>
          <c:marker>
            <c:symbol val="none"/>
          </c:marker>
          <c:cat>
            <c:strRef>
              <c:f>('3.2 Formula'!$C$21:$C$22,'3.2 Formula'!$F$21:$F$22,'3.2 Formula'!$I$21:$I$22)</c:f>
              <c:strCache>
                <c:ptCount val="3"/>
                <c:pt idx="0">
                  <c:v>6-23 mos</c:v>
                </c:pt>
                <c:pt idx="1">
                  <c:v>6-23 mos</c:v>
                </c:pt>
                <c:pt idx="2">
                  <c:v>6-23 mos</c:v>
                </c:pt>
              </c:strCache>
            </c:strRef>
          </c:cat>
          <c:val>
            <c:numRef>
              <c:f>('3.2 Formula'!$C$27,'3.2 Formula'!$F$27,'3.2 Formula'!$I$27)</c:f>
              <c:numCache>
                <c:formatCode>0.0</c:formatCode>
                <c:ptCount val="3"/>
                <c:pt idx="0">
                  <c:v>1.6</c:v>
                </c:pt>
                <c:pt idx="1">
                  <c:v>0.6</c:v>
                </c:pt>
                <c:pt idx="2">
                  <c:v>0.6</c:v>
                </c:pt>
              </c:numCache>
            </c:numRef>
          </c:val>
          <c:smooth val="0"/>
        </c:ser>
        <c:dLbls>
          <c:showLegendKey val="0"/>
          <c:showVal val="0"/>
          <c:showCatName val="0"/>
          <c:showSerName val="0"/>
          <c:showPercent val="0"/>
          <c:showBubbleSize val="0"/>
        </c:dLbls>
        <c:marker val="1"/>
        <c:smooth val="0"/>
        <c:axId val="246292480"/>
        <c:axId val="246294016"/>
      </c:lineChart>
      <c:catAx>
        <c:axId val="246292480"/>
        <c:scaling>
          <c:orientation val="minMax"/>
        </c:scaling>
        <c:delete val="0"/>
        <c:axPos val="b"/>
        <c:majorTickMark val="out"/>
        <c:minorTickMark val="none"/>
        <c:tickLblPos val="nextTo"/>
        <c:crossAx val="246294016"/>
        <c:crosses val="autoZero"/>
        <c:auto val="1"/>
        <c:lblAlgn val="ctr"/>
        <c:lblOffset val="100"/>
        <c:noMultiLvlLbl val="0"/>
      </c:catAx>
      <c:valAx>
        <c:axId val="246294016"/>
        <c:scaling>
          <c:orientation val="minMax"/>
        </c:scaling>
        <c:delete val="0"/>
        <c:axPos val="l"/>
        <c:numFmt formatCode="0.0" sourceLinked="1"/>
        <c:majorTickMark val="out"/>
        <c:minorTickMark val="none"/>
        <c:tickLblPos val="nextTo"/>
        <c:crossAx val="246292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Nat10</b:Tag>
    <b:SourceType>Report</b:SourceType>
    <b:Guid>{B750F506-4075-4149-AA8F-BB0DC2E6F936}</b:Guid>
    <b:Title>Cambodia Demographic and Health Survey</b:Title>
    <b:Year>2010</b:Year>
    <b:City>Phnom Penh</b:City>
    <b:Publisher>Measure DHS</b:Publisher>
    <b:Author>
      <b:Author>
        <b:NameList>
          <b:Person>
            <b:Last>National Institute of Statistics</b:Last>
            <b:First>Ministry</b:First>
            <b:Middle>of Planning</b:Middle>
          </b:Person>
        </b:NameList>
      </b:Author>
    </b:Author>
    <b:RefOrder>1</b:RefOrder>
  </b:Source>
  <b:Source>
    <b:Tag>Nat11</b:Tag>
    <b:SourceType>Misc</b:SourceType>
    <b:Guid>{42C5DC78-FF75-4786-BC70-E8E38762EC22}</b:Guid>
    <b:Title>National Policy and Guidelines for Micronutrient Supplementation to Prevent and Control Deficiencies in Cambodia</b:Title>
    <b:Year>2011</b:Year>
    <b:Publisher>Ministry of Health</b:Publisher>
    <b:City>Phnom Penh</b:City>
    <b:Author>
      <b:Author>
        <b:NameList>
          <b:Person>
            <b:Last>National Nutrition Programme</b:Last>
            <b:First>National</b:First>
            <b:Middle>Maternal and Child Health Centre</b:Middle>
          </b:Person>
        </b:NameList>
      </b:Author>
    </b:Author>
    <b:RefOrder>2</b:RefOrder>
  </b:Source>
  <b:Source>
    <b:Tag>Con11</b:Tag>
    <b:SourceType>Misc</b:SourceType>
    <b:Guid>{CCECB33D-261C-49F5-B967-0C8E414CB422}</b:Guid>
    <b:Author>
      <b:Author>
        <b:NameList>
          <b:Person>
            <b:Last>Conkle</b:Last>
            <b:First>J.,</b:First>
            <b:Middle>Moore, D.</b:Middle>
          </b:Person>
        </b:NameList>
      </b:Author>
    </b:Author>
    <b:Title>Caretaker Perceptions of Multiple Micronutrient Powder In-Home Fortification</b:Title>
    <b:Year>2012</b:Year>
    <b:City>Phnom Penh</b:City>
    <b:Publisher>UNICEF</b:Publisher>
    <b:RefOrder>3</b:RefOrder>
  </b:Source>
  <b:Source>
    <b:Tag>Wis12</b:Tag>
    <b:SourceType>Misc</b:SourceType>
    <b:Guid>{E6DF4488-1E20-4F4E-80FD-4A5B07334E9A}</b:Guid>
    <b:Author>
      <b:Author>
        <b:NameList>
          <b:Person>
            <b:Last>Wise</b:Last>
            <b:First>A.,</b:First>
            <b:Middle>Conkle, J.</b:Middle>
          </b:Person>
        </b:NameList>
      </b:Author>
    </b:Author>
    <b:Title>Cambodia Equity Analysis</b:Title>
    <b:Year>2012</b:Year>
    <b:City>Phnom Penh</b:City>
    <b:Publisher>UNICEF</b:Publisher>
    <b:RefOrder>5</b:RefOrder>
  </b:Source>
  <b:Source>
    <b:Tag>Mis12</b:Tag>
    <b:SourceType>Misc</b:SourceType>
    <b:Guid>{515B71A1-1858-4BFA-A711-07EB975B4F7E}</b:Guid>
    <b:Author>
      <b:Author>
        <b:NameList>
          <b:Person>
            <b:Last>Mishra</b:Last>
            <b:First>U.</b:First>
          </b:Person>
        </b:NameList>
      </b:Author>
    </b:Author>
    <b:Title>Worrying Nutrition Results from CDHS 2010 In The Context of High Food Prices</b:Title>
    <b:Year>2012</b:Year>
    <b:City>Phnom Penh</b:City>
    <b:Publisher>UNICEF</b:Publisher>
    <b:RefOrder>4</b:RefOrder>
  </b:Source>
  <b:Source>
    <b:Tag>Pen09</b:Tag>
    <b:SourceType>Report</b:SourceType>
    <b:Guid>{28F0D85B-CC09-4A0E-9422-F354E3F32A93}</b:Guid>
    <b:Author>
      <b:Author>
        <b:NameList>
          <b:Person>
            <b:Last>Pena Rosas JP</b:Last>
            <b:First>Viteri</b:First>
            <b:Middle>FE</b:Middle>
          </b:Person>
        </b:NameList>
      </b:Author>
    </b:Author>
    <b:Title>Effects and Safety of Preventive Oral Iron  or Iron+Folic Acid Supplmentation for Women During Pregnancy (Review)</b:Title>
    <b:Year>2009</b:Year>
    <b:Publisher>The Cochrane Collaboration</b:Publisher>
    <b:RefOrder>6</b:RefOrder>
  </b:Source>
  <b:Source>
    <b:Tag>Sto05</b:Tag>
    <b:SourceType>Misc</b:SourceType>
    <b:Guid>{36C7FAEA-64E9-4617-B461-519C68CDC31B}</b:Guid>
    <b:Author>
      <b:Author>
        <b:NameList>
          <b:Person>
            <b:Last>Stoltzfus</b:Last>
            <b:First>R.,</b:First>
            <b:Middle>Dreyfuss, M.</b:Middle>
          </b:Person>
        </b:NameList>
      </b:Author>
    </b:Author>
    <b:Title>Guidelines for the Use of Iron Supplements to Prevent and Treat Iron Deficiency Anemia</b:Title>
    <b:Year>2005</b:Year>
    <b:Publisher>International Nutritional Anemia Consultative Group</b:Publisher>
    <b:RefOrder>7</b:RefOrder>
  </b:Source>
</b:Sources>
</file>

<file path=customXml/itemProps1.xml><?xml version="1.0" encoding="utf-8"?>
<ds:datastoreItem xmlns:ds="http://schemas.openxmlformats.org/officeDocument/2006/customXml" ds:itemID="{791B52C2-FD71-4A9D-B96B-DF1A42A9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Conkle</dc:creator>
  <cp:lastModifiedBy>Joel Conkle</cp:lastModifiedBy>
  <cp:revision>2</cp:revision>
  <cp:lastPrinted>2013-01-10T04:37:00Z</cp:lastPrinted>
  <dcterms:created xsi:type="dcterms:W3CDTF">2013-03-11T03:36:00Z</dcterms:created>
  <dcterms:modified xsi:type="dcterms:W3CDTF">2013-03-11T03:36:00Z</dcterms:modified>
</cp:coreProperties>
</file>