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EB" w:rsidRPr="007D37EB" w:rsidRDefault="00401581" w:rsidP="00CA55B9">
      <w:pPr>
        <w:rPr>
          <w:i/>
          <w:iCs/>
        </w:rPr>
      </w:pPr>
      <w:proofErr w:type="gramStart"/>
      <w:r>
        <w:rPr>
          <w:i/>
          <w:iCs/>
        </w:rPr>
        <w:t>Accompanied by fact sheet on maternal nutrition.</w:t>
      </w:r>
      <w:proofErr w:type="gramEnd"/>
      <w:r>
        <w:rPr>
          <w:i/>
          <w:iCs/>
        </w:rPr>
        <w:t xml:space="preserve"> </w:t>
      </w:r>
      <w:proofErr w:type="gramStart"/>
      <w:r w:rsidR="004951A0">
        <w:rPr>
          <w:i/>
          <w:iCs/>
        </w:rPr>
        <w:t>Updated with Secondary Analysis of Cambodia Demographic and Health Surveys 2000-2010</w:t>
      </w:r>
      <w:r w:rsidR="00842C29">
        <w:rPr>
          <w:i/>
          <w:iCs/>
        </w:rPr>
        <w:t>.</w:t>
      </w:r>
      <w:proofErr w:type="gramEnd"/>
    </w:p>
    <w:p w:rsidR="00624BED" w:rsidRDefault="00624BED" w:rsidP="00422099">
      <w:pPr>
        <w:pStyle w:val="Heading2"/>
        <w:spacing w:before="0" w:after="120"/>
      </w:pPr>
      <w:r>
        <w:t>N</w:t>
      </w:r>
      <w:r w:rsidR="005115B1">
        <w:t>ational Level</w:t>
      </w:r>
      <w:r>
        <w:t xml:space="preserve"> Outcomes</w:t>
      </w:r>
    </w:p>
    <w:p w:rsidR="001B609F" w:rsidRDefault="0094513D" w:rsidP="00F90848">
      <w:r>
        <w:rPr>
          <w:b/>
        </w:rPr>
        <w:t xml:space="preserve">Child malnutrition is one of the biggest health problems </w:t>
      </w:r>
      <w:r w:rsidR="00FE19BF">
        <w:rPr>
          <w:b/>
        </w:rPr>
        <w:t>that</w:t>
      </w:r>
      <w:r>
        <w:rPr>
          <w:b/>
        </w:rPr>
        <w:t xml:space="preserve"> Cambodia</w:t>
      </w:r>
      <w:r w:rsidR="00FE19BF">
        <w:rPr>
          <w:b/>
        </w:rPr>
        <w:t xml:space="preserve"> is currently facing</w:t>
      </w:r>
      <w:r>
        <w:rPr>
          <w:b/>
        </w:rPr>
        <w:t xml:space="preserve">.  </w:t>
      </w:r>
      <w:r w:rsidR="001F26B8" w:rsidRPr="001F26B8">
        <w:t>C</w:t>
      </w:r>
      <w:r w:rsidR="009938CF">
        <w:t xml:space="preserve">ambodia is among the </w:t>
      </w:r>
      <w:r w:rsidR="00F363E5">
        <w:t>20</w:t>
      </w:r>
      <w:r w:rsidR="009938CF">
        <w:t xml:space="preserve"> worst countries </w:t>
      </w:r>
      <w:r w:rsidR="000E5C09">
        <w:t xml:space="preserve">globally </w:t>
      </w:r>
      <w:r w:rsidR="009938CF">
        <w:t xml:space="preserve">for </w:t>
      </w:r>
      <w:r w:rsidR="00FE19BF">
        <w:t>child malnutrition</w:t>
      </w:r>
      <w:r w:rsidR="009938CF">
        <w:t xml:space="preserve">. </w:t>
      </w:r>
      <w:r w:rsidR="00947FD0" w:rsidRPr="0094513D">
        <w:t xml:space="preserve">Considering </w:t>
      </w:r>
      <w:r w:rsidR="000E5C09">
        <w:t xml:space="preserve">that </w:t>
      </w:r>
      <w:r w:rsidR="00947FD0" w:rsidRPr="0094513D">
        <w:t>malnutrition is implicated in</w:t>
      </w:r>
      <w:r w:rsidR="00FE19BF">
        <w:t xml:space="preserve"> more than</w:t>
      </w:r>
      <w:r w:rsidR="00947FD0" w:rsidRPr="0094513D">
        <w:t xml:space="preserve"> </w:t>
      </w:r>
      <w:r w:rsidR="009B2382">
        <w:t>6,4</w:t>
      </w:r>
      <w:r w:rsidR="00FE19BF">
        <w:t>00</w:t>
      </w:r>
      <w:r w:rsidR="00947FD0" w:rsidRPr="0094513D">
        <w:t xml:space="preserve"> child deaths</w:t>
      </w:r>
      <w:r w:rsidR="00FE19BF">
        <w:t xml:space="preserve"> annually</w:t>
      </w:r>
      <w:r w:rsidR="00947FD0" w:rsidRPr="0094513D">
        <w:t xml:space="preserve">, </w:t>
      </w:r>
      <w:r w:rsidR="000E5C09">
        <w:t xml:space="preserve">and has health and economic consequences that will affect Cambodia for generations to come, both </w:t>
      </w:r>
      <w:r w:rsidR="00947FD0" w:rsidRPr="0094513D">
        <w:t xml:space="preserve">Overseas Development Assistance </w:t>
      </w:r>
      <w:r w:rsidR="000E5C09">
        <w:t xml:space="preserve">and </w:t>
      </w:r>
      <w:r w:rsidR="00947FD0" w:rsidRPr="0094513D">
        <w:t>Government allocation to the topi</w:t>
      </w:r>
      <w:r w:rsidR="00313444">
        <w:t>c have been unacceptably</w:t>
      </w:r>
      <w:r w:rsidR="000E5C09">
        <w:t xml:space="preserve"> low.</w:t>
      </w:r>
    </w:p>
    <w:p w:rsidR="00422099" w:rsidRDefault="00422099" w:rsidP="00F90848">
      <w:pPr>
        <w:sectPr w:rsidR="00422099" w:rsidSect="003850EE">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B609F" w:rsidRPr="003C01CF" w:rsidRDefault="009938CF" w:rsidP="003C01CF">
      <w:pPr>
        <w:numPr>
          <w:ilvl w:val="0"/>
          <w:numId w:val="2"/>
        </w:numPr>
        <w:tabs>
          <w:tab w:val="left" w:pos="4320"/>
        </w:tabs>
        <w:spacing w:after="40"/>
        <w:rPr>
          <w:b/>
        </w:rPr>
      </w:pPr>
      <w:r w:rsidRPr="000E5C09">
        <w:rPr>
          <w:b/>
        </w:rPr>
        <w:lastRenderedPageBreak/>
        <w:t>Cambodia is now off-track for CMDG and NSDP targets for child nutrition</w:t>
      </w:r>
      <w:r w:rsidR="003C01CF">
        <w:rPr>
          <w:b/>
        </w:rPr>
        <w:t xml:space="preserve">; </w:t>
      </w:r>
      <w:r w:rsidR="001B609F" w:rsidRPr="001B609F">
        <w:t>CDHS 2010 is the 3</w:t>
      </w:r>
      <w:r w:rsidR="001B609F" w:rsidRPr="003C01CF">
        <w:rPr>
          <w:vertAlign w:val="superscript"/>
        </w:rPr>
        <w:t>rd</w:t>
      </w:r>
      <w:r w:rsidR="001B609F" w:rsidRPr="001B609F">
        <w:t xml:space="preserve"> national, household survey since 2005 showing that 28% of children are underweight</w:t>
      </w:r>
    </w:p>
    <w:p w:rsidR="000E5C09" w:rsidRPr="001B609F" w:rsidRDefault="000E5C09" w:rsidP="009938CF">
      <w:pPr>
        <w:numPr>
          <w:ilvl w:val="0"/>
          <w:numId w:val="2"/>
        </w:numPr>
        <w:tabs>
          <w:tab w:val="left" w:pos="4320"/>
        </w:tabs>
        <w:spacing w:after="40"/>
      </w:pPr>
      <w:r>
        <w:t xml:space="preserve">At 39.9%, Cambodia has </w:t>
      </w:r>
      <w:r w:rsidR="00F363E5">
        <w:t>one of the</w:t>
      </w:r>
      <w:r>
        <w:t xml:space="preserve"> highest </w:t>
      </w:r>
      <w:r w:rsidR="00633EFB">
        <w:t xml:space="preserve">prevalence </w:t>
      </w:r>
      <w:r>
        <w:t xml:space="preserve">of </w:t>
      </w:r>
      <w:r w:rsidR="00F0210F">
        <w:t>short children</w:t>
      </w:r>
      <w:r>
        <w:t xml:space="preserve"> in the </w:t>
      </w:r>
      <w:r w:rsidR="00F363E5">
        <w:t>region</w:t>
      </w:r>
      <w:r w:rsidR="00FE6F52">
        <w:t xml:space="preserve">. It is </w:t>
      </w:r>
      <w:proofErr w:type="gramStart"/>
      <w:r w:rsidR="00FE6F52">
        <w:t>16x</w:t>
      </w:r>
      <w:proofErr w:type="gramEnd"/>
      <w:r w:rsidR="00FE6F52">
        <w:t xml:space="preserve"> higher than </w:t>
      </w:r>
      <w:r w:rsidR="00633EFB">
        <w:t xml:space="preserve">for </w:t>
      </w:r>
      <w:r w:rsidR="00FE6F52">
        <w:t>a healthy population.</w:t>
      </w:r>
      <w:r w:rsidR="007C3D4B">
        <w:rPr>
          <w:rStyle w:val="FootnoteReference"/>
        </w:rPr>
        <w:footnoteReference w:id="1"/>
      </w:r>
    </w:p>
    <w:p w:rsidR="007C3D4B" w:rsidRPr="003C01CF" w:rsidRDefault="001B609F" w:rsidP="007C3D4B">
      <w:pPr>
        <w:pStyle w:val="ListParagraph"/>
        <w:numPr>
          <w:ilvl w:val="0"/>
          <w:numId w:val="2"/>
        </w:numPr>
        <w:spacing w:after="40"/>
      </w:pPr>
      <w:r w:rsidRPr="001B609F">
        <w:rPr>
          <w:bCs/>
        </w:rPr>
        <w:t xml:space="preserve">From 2005 to 2010 the percentage of children too thin </w:t>
      </w:r>
      <w:r w:rsidR="00F064CC">
        <w:rPr>
          <w:bCs/>
        </w:rPr>
        <w:t>increased</w:t>
      </w:r>
      <w:r w:rsidRPr="001B609F">
        <w:rPr>
          <w:bCs/>
        </w:rPr>
        <w:t xml:space="preserve"> from 8.4% to 10.9% </w:t>
      </w:r>
    </w:p>
    <w:p w:rsidR="003C01CF" w:rsidRPr="007C3D4B" w:rsidRDefault="003C01CF" w:rsidP="003C01CF">
      <w:pPr>
        <w:pStyle w:val="ListParagraph"/>
        <w:spacing w:after="40"/>
      </w:pPr>
    </w:p>
    <w:p w:rsidR="007C3D4B" w:rsidRPr="002E61C2" w:rsidRDefault="007C3D4B" w:rsidP="007C3D4B">
      <w:pPr>
        <w:pStyle w:val="ListParagraph"/>
        <w:numPr>
          <w:ilvl w:val="0"/>
          <w:numId w:val="2"/>
        </w:numPr>
        <w:spacing w:after="40"/>
      </w:pPr>
      <w:r>
        <w:rPr>
          <w:bCs/>
        </w:rPr>
        <w:t xml:space="preserve">There are now an estimated </w:t>
      </w:r>
      <w:r w:rsidR="00F064CC">
        <w:rPr>
          <w:bCs/>
        </w:rPr>
        <w:t>95</w:t>
      </w:r>
      <w:r>
        <w:rPr>
          <w:bCs/>
        </w:rPr>
        <w:t>,000 cases of severe</w:t>
      </w:r>
      <w:r w:rsidR="00F0210F">
        <w:rPr>
          <w:bCs/>
        </w:rPr>
        <w:t>ly thin children</w:t>
      </w:r>
      <w:r>
        <w:rPr>
          <w:bCs/>
        </w:rPr>
        <w:t xml:space="preserve"> on an annual basis</w:t>
      </w:r>
    </w:p>
    <w:p w:rsidR="002E61C2" w:rsidRPr="007C3D4B" w:rsidRDefault="002E61C2" w:rsidP="002E61C2">
      <w:pPr>
        <w:spacing w:after="40"/>
      </w:pPr>
    </w:p>
    <w:p w:rsidR="007C3D4B" w:rsidRDefault="007C3D4B" w:rsidP="007C3D4B">
      <w:pPr>
        <w:pStyle w:val="ListParagraph"/>
        <w:numPr>
          <w:ilvl w:val="0"/>
          <w:numId w:val="2"/>
        </w:numPr>
        <w:spacing w:after="40"/>
      </w:pPr>
      <w:r w:rsidRPr="001F26B8">
        <w:t>Many countries with lower GDP have muc</w:t>
      </w:r>
      <w:r>
        <w:t>h lower rates of malnutrition</w:t>
      </w:r>
      <w:r w:rsidR="003C01CF">
        <w:t xml:space="preserve">; nutrition can be greatly improved with the available resources </w:t>
      </w:r>
    </w:p>
    <w:p w:rsidR="007C3D4B" w:rsidRDefault="007C3D4B" w:rsidP="007C3D4B">
      <w:pPr>
        <w:numPr>
          <w:ilvl w:val="0"/>
          <w:numId w:val="2"/>
        </w:numPr>
        <w:spacing w:after="40"/>
      </w:pPr>
      <w:r w:rsidRPr="001B609F">
        <w:t xml:space="preserve">55% of children are </w:t>
      </w:r>
      <w:proofErr w:type="spellStart"/>
      <w:r w:rsidRPr="001B609F">
        <w:t>anaemic</w:t>
      </w:r>
      <w:proofErr w:type="spellEnd"/>
      <w:r w:rsidRPr="001B609F">
        <w:t xml:space="preserve">; </w:t>
      </w:r>
      <w:r>
        <w:t>up to half of this caused by iron and other micronutrient deficiencies</w:t>
      </w:r>
    </w:p>
    <w:p w:rsidR="00FE6F52" w:rsidRPr="00FE6F52" w:rsidRDefault="00FE6F52" w:rsidP="007C3D4B">
      <w:pPr>
        <w:spacing w:after="40"/>
        <w:ind w:left="720"/>
        <w:rPr>
          <w:bCs/>
        </w:rPr>
      </w:pPr>
    </w:p>
    <w:p w:rsidR="007C3D4B" w:rsidRDefault="007C3D4B" w:rsidP="00FE6F52">
      <w:pPr>
        <w:ind w:left="-90"/>
        <w:rPr>
          <w:b/>
          <w:bCs/>
        </w:rPr>
      </w:pPr>
      <w:r w:rsidRPr="001B609F">
        <w:rPr>
          <w:b/>
          <w:bCs/>
        </w:rPr>
        <w:lastRenderedPageBreak/>
        <w:t>Trends in U-5 Child Malnutrition from 2000-2010</w:t>
      </w:r>
      <w:r w:rsidR="00947FD0">
        <w:rPr>
          <w:noProof/>
          <w:lang w:eastAsia="ko-KR"/>
        </w:rPr>
        <w:drawing>
          <wp:inline distT="0" distB="0" distL="0" distR="0">
            <wp:extent cx="3034701" cy="2216988"/>
            <wp:effectExtent l="19050" t="0" r="13299"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054" w:rsidRDefault="00CA7054" w:rsidP="00CA7054">
      <w:pPr>
        <w:spacing w:after="0" w:line="240" w:lineRule="auto"/>
        <w:rPr>
          <w:b/>
        </w:rPr>
      </w:pPr>
    </w:p>
    <w:p w:rsidR="007C3D4B" w:rsidRPr="007C3D4B" w:rsidRDefault="00CA7054" w:rsidP="00CA7054">
      <w:pPr>
        <w:spacing w:after="0" w:line="240" w:lineRule="auto"/>
      </w:pPr>
      <w:r>
        <w:rPr>
          <w:b/>
        </w:rPr>
        <w:t>Cambodia has higher rates of stunting than countries at the same level of income</w:t>
      </w:r>
    </w:p>
    <w:p w:rsidR="001B609F" w:rsidRDefault="00CA7054" w:rsidP="00FE6F52">
      <w:pPr>
        <w:ind w:left="-90"/>
        <w:rPr>
          <w:b/>
        </w:rPr>
      </w:pPr>
      <w:r>
        <w:rPr>
          <w:b/>
          <w:noProof/>
          <w:lang w:eastAsia="ko-KR"/>
        </w:rPr>
        <w:drawing>
          <wp:inline distT="0" distB="0" distL="0" distR="0">
            <wp:extent cx="2908514" cy="1639019"/>
            <wp:effectExtent l="19050" t="0" r="6136"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914650" cy="1642477"/>
                    </a:xfrm>
                    <a:prstGeom prst="rect">
                      <a:avLst/>
                    </a:prstGeom>
                    <a:noFill/>
                    <a:ln w="9525">
                      <a:noFill/>
                      <a:miter lim="800000"/>
                      <a:headEnd/>
                      <a:tailEnd/>
                    </a:ln>
                  </pic:spPr>
                </pic:pic>
              </a:graphicData>
            </a:graphic>
          </wp:inline>
        </w:drawing>
      </w:r>
    </w:p>
    <w:p w:rsidR="00CA7054" w:rsidRPr="00FE6F52" w:rsidRDefault="00CA7054" w:rsidP="00FE6F52">
      <w:pPr>
        <w:ind w:left="-90"/>
        <w:rPr>
          <w:b/>
        </w:rPr>
        <w:sectPr w:rsidR="00CA7054" w:rsidRPr="00FE6F52" w:rsidSect="001B609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180"/>
          <w:docGrid w:linePitch="360"/>
        </w:sectPr>
      </w:pPr>
    </w:p>
    <w:p w:rsidR="007C3D4B" w:rsidRDefault="007C3D4B" w:rsidP="007C3D4B">
      <w:pPr>
        <w:pStyle w:val="Heading2"/>
        <w:spacing w:before="0" w:after="120"/>
      </w:pPr>
      <w:r>
        <w:lastRenderedPageBreak/>
        <w:t>A Closer Look at Outcomes</w:t>
      </w:r>
    </w:p>
    <w:p w:rsidR="00966D80" w:rsidRDefault="00CA7054" w:rsidP="0008465B">
      <w:pPr>
        <w:spacing w:after="120"/>
      </w:pPr>
      <w:r w:rsidRPr="0008465B">
        <w:rPr>
          <w:b/>
          <w:bCs/>
          <w:noProof/>
          <w:lang w:eastAsia="ko-KR"/>
        </w:rPr>
        <w:drawing>
          <wp:anchor distT="0" distB="0" distL="114300" distR="114300" simplePos="0" relativeHeight="251658240" behindDoc="0" locked="1" layoutInCell="1" allowOverlap="1" wp14:anchorId="2561D4CC" wp14:editId="352D616A">
            <wp:simplePos x="0" y="0"/>
            <wp:positionH relativeFrom="margin">
              <wp:posOffset>2848610</wp:posOffset>
            </wp:positionH>
            <wp:positionV relativeFrom="paragraph">
              <wp:posOffset>494030</wp:posOffset>
            </wp:positionV>
            <wp:extent cx="3191256" cy="20939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1256"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D80" w:rsidRPr="0008465B">
        <w:rPr>
          <w:b/>
          <w:bCs/>
        </w:rPr>
        <w:t>Economic growth alone does not solve malnutrition.</w:t>
      </w:r>
      <w:r w:rsidR="00966D80" w:rsidRPr="0008465B">
        <w:t xml:space="preserve"> </w:t>
      </w:r>
      <w:r w:rsidR="00990FEC">
        <w:t>Poverty is an important factor</w:t>
      </w:r>
      <w:r w:rsidR="00966D80" w:rsidRPr="000E5C09">
        <w:t xml:space="preserve"> but</w:t>
      </w:r>
      <w:r w:rsidR="00990FEC">
        <w:t>,</w:t>
      </w:r>
      <w:r w:rsidR="00966D80" w:rsidRPr="000E5C09">
        <w:t xml:space="preserve"> in </w:t>
      </w:r>
      <w:r w:rsidR="00990FEC">
        <w:t xml:space="preserve">Cambodia, </w:t>
      </w:r>
      <w:r w:rsidR="00966D80" w:rsidRPr="000E5C09">
        <w:t xml:space="preserve">malnutrition rates remain </w:t>
      </w:r>
      <w:r w:rsidR="00990FEC">
        <w:t>at epidemic levels despite solid economic growth.   Malnutrition affects all income levels in Cambodia, evidence</w:t>
      </w:r>
      <w:r w:rsidR="00990FEC" w:rsidRPr="00415BCA">
        <w:t xml:space="preserve"> that </w:t>
      </w:r>
      <w:r w:rsidR="00990FEC">
        <w:t>it</w:t>
      </w:r>
      <w:r w:rsidR="00990FEC" w:rsidRPr="00415BCA">
        <w:t xml:space="preserve"> is not just a poverty issue</w:t>
      </w:r>
      <w:r w:rsidR="00990FEC">
        <w:t>.</w:t>
      </w:r>
    </w:p>
    <w:p w:rsidR="00422099" w:rsidRDefault="00422099" w:rsidP="0008465B">
      <w:pPr>
        <w:pStyle w:val="ListParagraph"/>
        <w:numPr>
          <w:ilvl w:val="0"/>
          <w:numId w:val="8"/>
        </w:numPr>
      </w:pPr>
      <w:r>
        <w:t>Malnutrition rates increase sharply in the 1</w:t>
      </w:r>
      <w:r w:rsidRPr="0008465B">
        <w:t>st</w:t>
      </w:r>
      <w:r>
        <w:t xml:space="preserve"> two years of life due to high needs for growth, inappropriate feeding, and vulnerability to infection</w:t>
      </w:r>
    </w:p>
    <w:p w:rsidR="00966D80" w:rsidRPr="00415BCA" w:rsidRDefault="002C53CC" w:rsidP="0008465B">
      <w:pPr>
        <w:pStyle w:val="ListParagraph"/>
        <w:numPr>
          <w:ilvl w:val="0"/>
          <w:numId w:val="8"/>
        </w:numPr>
      </w:pPr>
      <w:r>
        <w:t>1 out of 5</w:t>
      </w:r>
      <w:r w:rsidR="00966D80" w:rsidRPr="00415BCA">
        <w:t xml:space="preserve"> children in the richest weal</w:t>
      </w:r>
      <w:r w:rsidR="001C1C42">
        <w:t>th quintile</w:t>
      </w:r>
      <w:r w:rsidR="001B6AB6">
        <w:t xml:space="preserve"> are underweight</w:t>
      </w:r>
      <w:r w:rsidR="001C1C42">
        <w:t xml:space="preserve"> </w:t>
      </w:r>
    </w:p>
    <w:p w:rsidR="00BF2D20" w:rsidRPr="004951A0" w:rsidRDefault="0078371D" w:rsidP="004951A0">
      <w:r w:rsidRPr="0078371D">
        <w:rPr>
          <w:b/>
          <w:bCs/>
        </w:rPr>
        <w:t>The gap between urban and rural areas is growing</w:t>
      </w:r>
      <w:r>
        <w:t xml:space="preserve">. From 2005 to 2010 the only groups to see continued improvement in child nutrition were the middle and lower wealth quintiles of urban areas. </w:t>
      </w:r>
      <w:r w:rsidR="00BF2D20">
        <w:t>In 2005 both urban and rural areas had 28% of children underweight. By 2010</w:t>
      </w:r>
      <w:r w:rsidR="00057550">
        <w:t>, there was more than a ten percentage point difference between the two, with</w:t>
      </w:r>
      <w:r w:rsidR="00BF2D20">
        <w:t xml:space="preserve"> urban areas </w:t>
      </w:r>
      <w:r w:rsidR="00057550">
        <w:t>dropping</w:t>
      </w:r>
      <w:r w:rsidR="00BF2D20">
        <w:t xml:space="preserve"> below 20%. </w:t>
      </w:r>
      <w:r>
        <w:t xml:space="preserve">This is likely the result of improved sanitation in </w:t>
      </w:r>
      <w:r w:rsidR="00BF2D20">
        <w:t>urban</w:t>
      </w:r>
      <w:r>
        <w:t xml:space="preserve"> areas; lack of sanitation and poor hygiene remain major barriers to improving child nutrition in rural areas.</w:t>
      </w:r>
      <w:r w:rsidR="00401581">
        <w:t xml:space="preserve"> In urban areas inappropriate child feeding is likely the major remaining barrier.</w:t>
      </w:r>
      <w:r>
        <w:t xml:space="preserve"> </w:t>
      </w:r>
    </w:p>
    <w:p w:rsidR="001F26B8" w:rsidRPr="001F26B8" w:rsidRDefault="001F26B8" w:rsidP="00095C3E">
      <w:pPr>
        <w:pStyle w:val="Heading2"/>
        <w:spacing w:before="0" w:after="120"/>
      </w:pPr>
      <w:r>
        <w:t>Consequences of Malnutrition</w:t>
      </w:r>
    </w:p>
    <w:p w:rsidR="00D76606" w:rsidRDefault="00422099" w:rsidP="00D76606">
      <w:pPr>
        <w:spacing w:after="120"/>
      </w:pPr>
      <w:r>
        <w:rPr>
          <w:b/>
        </w:rPr>
        <w:t xml:space="preserve">Child malnutrition </w:t>
      </w:r>
      <w:r w:rsidR="00990FEC">
        <w:rPr>
          <w:b/>
        </w:rPr>
        <w:t>today will</w:t>
      </w:r>
      <w:r>
        <w:rPr>
          <w:b/>
        </w:rPr>
        <w:t xml:space="preserve"> have </w:t>
      </w:r>
      <w:r w:rsidR="00D76606">
        <w:rPr>
          <w:b/>
        </w:rPr>
        <w:t xml:space="preserve">serious long-term </w:t>
      </w:r>
      <w:r>
        <w:rPr>
          <w:b/>
        </w:rPr>
        <w:t xml:space="preserve">consequences for </w:t>
      </w:r>
      <w:r w:rsidR="00313444">
        <w:rPr>
          <w:b/>
        </w:rPr>
        <w:t xml:space="preserve">the health of the </w:t>
      </w:r>
      <w:r>
        <w:rPr>
          <w:b/>
        </w:rPr>
        <w:t>Cambodia</w:t>
      </w:r>
      <w:r w:rsidR="00313444">
        <w:rPr>
          <w:b/>
        </w:rPr>
        <w:t>n population and for its economic development</w:t>
      </w:r>
      <w:r w:rsidR="00D76606">
        <w:rPr>
          <w:b/>
        </w:rPr>
        <w:t xml:space="preserve">.  </w:t>
      </w:r>
      <w:r w:rsidR="00313444">
        <w:t xml:space="preserve">Inadequate </w:t>
      </w:r>
      <w:r w:rsidR="006D2608">
        <w:t xml:space="preserve">growth in the first few years of life not only impacts child health and </w:t>
      </w:r>
      <w:r w:rsidR="005E7E7C">
        <w:t>mortality;</w:t>
      </w:r>
      <w:r w:rsidR="006D2608">
        <w:t xml:space="preserve"> </w:t>
      </w:r>
      <w:r w:rsidR="005E7E7C">
        <w:t>it</w:t>
      </w:r>
      <w:r w:rsidR="006D2608">
        <w:t xml:space="preserve"> </w:t>
      </w:r>
      <w:r w:rsidR="005E7E7C">
        <w:t>also leads to</w:t>
      </w:r>
      <w:r w:rsidR="006D2608">
        <w:t xml:space="preserve"> adverse health and economic consequences </w:t>
      </w:r>
      <w:r w:rsidR="005E7E7C">
        <w:t>for the individual’s entire life</w:t>
      </w:r>
      <w:r w:rsidR="00633EFB">
        <w:t xml:space="preserve"> and </w:t>
      </w:r>
      <w:r w:rsidR="002E61C2">
        <w:t>can even affect</w:t>
      </w:r>
      <w:r w:rsidR="00633EFB">
        <w:t xml:space="preserve"> the next generation.</w:t>
      </w:r>
      <w:r w:rsidR="00095C3E">
        <w:t xml:space="preserve">  </w:t>
      </w:r>
    </w:p>
    <w:p w:rsidR="00990FEC" w:rsidRDefault="00990FEC" w:rsidP="00D76606">
      <w:pPr>
        <w:pStyle w:val="ListParagraph"/>
        <w:numPr>
          <w:ilvl w:val="0"/>
          <w:numId w:val="8"/>
        </w:numPr>
      </w:pPr>
      <w:r>
        <w:t>Adults who were malnourished as children die younger, and have higher rates of chronic diseases such as cardiovascular disease</w:t>
      </w:r>
      <w:r w:rsidR="00D76606">
        <w:t>, respiratory disease</w:t>
      </w:r>
      <w:r w:rsidR="00095C3E">
        <w:t xml:space="preserve"> and diabetes</w:t>
      </w:r>
    </w:p>
    <w:p w:rsidR="00141BC8" w:rsidRDefault="00141BC8" w:rsidP="00D76606">
      <w:pPr>
        <w:pStyle w:val="ListParagraph"/>
        <w:numPr>
          <w:ilvl w:val="0"/>
          <w:numId w:val="8"/>
        </w:numPr>
      </w:pPr>
      <w:r>
        <w:t>Children fed with infant formula are more likely to die in the first five years; even where U-5 mortality is not a big concern formula fed babies are more likely to be obese and to suffer from chronic illness as adults</w:t>
      </w:r>
    </w:p>
    <w:p w:rsidR="00095C3E" w:rsidRDefault="00D47646" w:rsidP="00D47646">
      <w:pPr>
        <w:pStyle w:val="ListParagraph"/>
        <w:numPr>
          <w:ilvl w:val="0"/>
          <w:numId w:val="8"/>
        </w:numPr>
      </w:pPr>
      <w:r>
        <w:t xml:space="preserve">Malnutrition leads to poorer </w:t>
      </w:r>
      <w:r w:rsidRPr="002A47C4">
        <w:t xml:space="preserve">cognitive development and schooling outcomes and are more likely to repeat a grade or drop out of school. They are less able to work, less productive, and earn less as adults. Childhood </w:t>
      </w:r>
      <w:proofErr w:type="spellStart"/>
      <w:r w:rsidRPr="002A47C4">
        <w:t>an</w:t>
      </w:r>
      <w:r>
        <w:t>a</w:t>
      </w:r>
      <w:r w:rsidRPr="002A47C4">
        <w:t>emia</w:t>
      </w:r>
      <w:proofErr w:type="spellEnd"/>
      <w:r w:rsidRPr="002A47C4">
        <w:t xml:space="preserve"> alone is associated with a 2.5% drop in adult wages. </w:t>
      </w:r>
      <w:r w:rsidRPr="00D47646">
        <w:t>International evidence shows that a ‘1% decrease in adult stature is associated with a 1.4% decrease in productivity’</w:t>
      </w:r>
    </w:p>
    <w:p w:rsidR="00633EFB" w:rsidRDefault="009C6D57" w:rsidP="00633EFB">
      <w:pPr>
        <w:pStyle w:val="ListParagraph"/>
        <w:numPr>
          <w:ilvl w:val="0"/>
          <w:numId w:val="7"/>
        </w:numPr>
        <w:spacing w:after="40"/>
      </w:pPr>
      <w:r>
        <w:t>Cambodia loses over US$146</w:t>
      </w:r>
      <w:r w:rsidR="00633EFB" w:rsidRPr="00633EFB">
        <w:t xml:space="preserve"> million</w:t>
      </w:r>
      <w:r w:rsidR="00633EFB">
        <w:t xml:space="preserve"> </w:t>
      </w:r>
      <w:r w:rsidR="00633EFB" w:rsidRPr="00633EFB">
        <w:t>in GDP to vitamin and mineral deficiencies</w:t>
      </w:r>
      <w:r w:rsidR="00633EFB">
        <w:t xml:space="preserve"> every year</w:t>
      </w:r>
    </w:p>
    <w:p w:rsidR="00D76606" w:rsidRDefault="00095C3E" w:rsidP="00D76606">
      <w:pPr>
        <w:pStyle w:val="ListParagraph"/>
        <w:numPr>
          <w:ilvl w:val="0"/>
          <w:numId w:val="7"/>
        </w:numPr>
        <w:spacing w:after="120"/>
      </w:pPr>
      <w:r>
        <w:t xml:space="preserve">Girls who do not receive adequate nutrition in the first few years of life </w:t>
      </w:r>
      <w:r w:rsidR="00422099">
        <w:t xml:space="preserve">have children who are more likely to die, </w:t>
      </w:r>
      <w:r>
        <w:t>be stunted and be underweight</w:t>
      </w:r>
    </w:p>
    <w:p w:rsidR="004951A0" w:rsidRPr="00141BC8" w:rsidRDefault="00D76606" w:rsidP="00141BC8">
      <w:pPr>
        <w:spacing w:after="120"/>
        <w:rPr>
          <w:rStyle w:val="Heading2Char"/>
          <w:rFonts w:asciiTheme="minorHAnsi" w:eastAsiaTheme="minorEastAsia" w:hAnsiTheme="minorHAnsi" w:cstheme="minorBidi"/>
          <w:b w:val="0"/>
          <w:bCs w:val="0"/>
          <w:color w:val="auto"/>
          <w:sz w:val="22"/>
          <w:szCs w:val="36"/>
        </w:rPr>
      </w:pPr>
      <w:r>
        <w:t>This pre</w:t>
      </w:r>
      <w:r w:rsidR="005E7E7C">
        <w:t>sents a heavy economic burden on</w:t>
      </w:r>
      <w:r>
        <w:t xml:space="preserve"> Cambodia’s health system in terms of child health outcomes and adult chronic disease. It also hampers Cam</w:t>
      </w:r>
      <w:r w:rsidR="005E7E7C">
        <w:t>bodia’s development, robbing the country</w:t>
      </w:r>
      <w:r>
        <w:t xml:space="preserve"> of a healthy, cognitively developed population for generations to come. </w:t>
      </w:r>
    </w:p>
    <w:p w:rsidR="000E66C1" w:rsidRPr="00074CB2" w:rsidRDefault="001F26B8" w:rsidP="005311AA">
      <w:r>
        <w:rPr>
          <w:rStyle w:val="Heading2Char"/>
        </w:rPr>
        <w:lastRenderedPageBreak/>
        <w:t xml:space="preserve">What </w:t>
      </w:r>
      <w:proofErr w:type="gramStart"/>
      <w:r>
        <w:rPr>
          <w:rStyle w:val="Heading2Char"/>
        </w:rPr>
        <w:t>Can</w:t>
      </w:r>
      <w:proofErr w:type="gramEnd"/>
      <w:r>
        <w:rPr>
          <w:rStyle w:val="Heading2Char"/>
        </w:rPr>
        <w:t xml:space="preserve"> be Done?</w:t>
      </w:r>
    </w:p>
    <w:p w:rsidR="009D62BA" w:rsidRDefault="004951A0" w:rsidP="009D62BA">
      <w:pPr>
        <w:rPr>
          <w:b/>
        </w:rPr>
      </w:pPr>
      <w:r>
        <w:rPr>
          <w:noProof/>
          <w:lang w:eastAsia="ko-KR"/>
        </w:rPr>
        <w:drawing>
          <wp:anchor distT="0" distB="0" distL="114300" distR="114300" simplePos="0" relativeHeight="251664384" behindDoc="0" locked="1" layoutInCell="1" allowOverlap="1" wp14:anchorId="2A68049B" wp14:editId="73856E72">
            <wp:simplePos x="0" y="0"/>
            <wp:positionH relativeFrom="margin">
              <wp:posOffset>2741930</wp:posOffset>
            </wp:positionH>
            <wp:positionV relativeFrom="paragraph">
              <wp:posOffset>1021080</wp:posOffset>
            </wp:positionV>
            <wp:extent cx="3081020" cy="1983740"/>
            <wp:effectExtent l="0" t="0" r="24130" b="1651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54926">
        <w:rPr>
          <w:b/>
        </w:rPr>
        <w:t>The 2008</w:t>
      </w:r>
      <w:r w:rsidR="009D62BA" w:rsidRPr="00AF355C">
        <w:rPr>
          <w:b/>
        </w:rPr>
        <w:t xml:space="preserve"> Copenhagen </w:t>
      </w:r>
      <w:r w:rsidR="00154926">
        <w:rPr>
          <w:b/>
        </w:rPr>
        <w:t>C</w:t>
      </w:r>
      <w:r w:rsidR="009D62BA" w:rsidRPr="00AF355C">
        <w:rPr>
          <w:b/>
        </w:rPr>
        <w:t>onsensus</w:t>
      </w:r>
      <w:r w:rsidR="00154926">
        <w:rPr>
          <w:b/>
        </w:rPr>
        <w:t xml:space="preserve"> </w:t>
      </w:r>
      <w:r w:rsidR="003152F4">
        <w:rPr>
          <w:b/>
        </w:rPr>
        <w:t>shows that nutrition interventions are highly cost-effective</w:t>
      </w:r>
      <w:r w:rsidR="00996ADA">
        <w:rPr>
          <w:b/>
        </w:rPr>
        <w:t>.</w:t>
      </w:r>
      <w:r w:rsidR="003152F4">
        <w:rPr>
          <w:b/>
        </w:rPr>
        <w:t xml:space="preserve"> Some recommended interventions are yet to be taken to scale in Cambodia.</w:t>
      </w:r>
      <w:r w:rsidR="00996ADA">
        <w:rPr>
          <w:b/>
        </w:rPr>
        <w:t xml:space="preserve"> </w:t>
      </w:r>
    </w:p>
    <w:p w:rsidR="00C80F15" w:rsidRDefault="00C80F15" w:rsidP="00C80F15">
      <w:pPr>
        <w:pStyle w:val="ListParagraph"/>
      </w:pPr>
    </w:p>
    <w:p w:rsidR="00A546CF" w:rsidRDefault="002C53CC" w:rsidP="00A546CF">
      <w:pPr>
        <w:pStyle w:val="ListParagraph"/>
        <w:numPr>
          <w:ilvl w:val="0"/>
          <w:numId w:val="11"/>
        </w:numPr>
      </w:pPr>
      <w:r>
        <w:t>Large improvement in early and exclusive breastfeeding has made Cambodia an i</w:t>
      </w:r>
      <w:r w:rsidR="0078371D">
        <w:t xml:space="preserve">nternational example of success, but illegal promotion of infant formula by doctors and nurses in private </w:t>
      </w:r>
      <w:r w:rsidR="00BF2D20">
        <w:t xml:space="preserve">clinics and illegal advertising to children </w:t>
      </w:r>
      <w:proofErr w:type="gramStart"/>
      <w:r w:rsidR="00BF2D20">
        <w:t>under</w:t>
      </w:r>
      <w:proofErr w:type="gramEnd"/>
      <w:r w:rsidR="00BF2D20">
        <w:t xml:space="preserve"> 2 years of age by formula companies</w:t>
      </w:r>
      <w:r w:rsidR="0078371D">
        <w:t xml:space="preserve"> is a threat to this achievement</w:t>
      </w:r>
      <w:r w:rsidR="00365B70">
        <w:t xml:space="preserve">. A 2007 law requires that the Ministry of Health establish an Oversight Board to help enforce the law on </w:t>
      </w:r>
      <w:proofErr w:type="spellStart"/>
      <w:r w:rsidR="00365B70">
        <w:t>breastmilk</w:t>
      </w:r>
      <w:proofErr w:type="spellEnd"/>
      <w:r w:rsidR="00365B70">
        <w:t xml:space="preserve"> substitutes. This board is not yet established.</w:t>
      </w:r>
    </w:p>
    <w:p w:rsidR="00365B70" w:rsidRDefault="00365B70" w:rsidP="00365B70">
      <w:pPr>
        <w:pStyle w:val="ListParagraph"/>
      </w:pPr>
    </w:p>
    <w:p w:rsidR="00C80F15" w:rsidRDefault="00C9232D" w:rsidP="00365B70">
      <w:pPr>
        <w:pStyle w:val="ListParagraph"/>
        <w:numPr>
          <w:ilvl w:val="0"/>
          <w:numId w:val="11"/>
        </w:numPr>
      </w:pPr>
      <w:r>
        <w:rPr>
          <w:noProof/>
          <w:lang w:eastAsia="ko-KR"/>
        </w:rPr>
        <w:drawing>
          <wp:anchor distT="0" distB="0" distL="114300" distR="114300" simplePos="0" relativeHeight="251663360" behindDoc="0" locked="1" layoutInCell="1" allowOverlap="1" wp14:anchorId="08F6188F" wp14:editId="6418E723">
            <wp:simplePos x="0" y="0"/>
            <wp:positionH relativeFrom="margin">
              <wp:posOffset>2744470</wp:posOffset>
            </wp:positionH>
            <wp:positionV relativeFrom="paragraph">
              <wp:posOffset>1270</wp:posOffset>
            </wp:positionV>
            <wp:extent cx="3081020" cy="1983740"/>
            <wp:effectExtent l="0" t="0" r="24130" b="165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546CF">
        <w:t>Vitamin A supplementation and deworming has increased, but</w:t>
      </w:r>
      <w:r w:rsidR="00842C29">
        <w:t xml:space="preserve"> this is not sufficient to address micronutrient deficiency</w:t>
      </w:r>
      <w:r w:rsidR="00365B70">
        <w:t xml:space="preserve">. </w:t>
      </w:r>
      <w:r w:rsidR="00842C29">
        <w:t>M</w:t>
      </w:r>
      <w:r w:rsidR="006B7D30">
        <w:t xml:space="preserve">ultiple micronutrient </w:t>
      </w:r>
      <w:proofErr w:type="gramStart"/>
      <w:r w:rsidR="006B7D30">
        <w:t>supplementation</w:t>
      </w:r>
      <w:proofErr w:type="gramEnd"/>
      <w:r w:rsidR="00842C29">
        <w:t xml:space="preserve"> was studied three times in the country and shown to be effective</w:t>
      </w:r>
      <w:r w:rsidR="00F4728B">
        <w:t xml:space="preserve"> </w:t>
      </w:r>
      <w:r w:rsidR="00365B70">
        <w:t xml:space="preserve">in reducing </w:t>
      </w:r>
      <w:proofErr w:type="spellStart"/>
      <w:r w:rsidR="00365B70">
        <w:t>anaemia</w:t>
      </w:r>
      <w:proofErr w:type="spellEnd"/>
      <w:r w:rsidR="00365B70">
        <w:t xml:space="preserve"> </w:t>
      </w:r>
      <w:r w:rsidR="00F4728B">
        <w:t>each time</w:t>
      </w:r>
      <w:r w:rsidR="00842C29">
        <w:t>, but</w:t>
      </w:r>
      <w:r w:rsidR="003E1F2B">
        <w:t xml:space="preserve"> the intervention </w:t>
      </w:r>
      <w:r w:rsidR="0078371D">
        <w:t>is not yet at scale</w:t>
      </w:r>
      <w:r w:rsidR="006B7D30">
        <w:t>;</w:t>
      </w:r>
      <w:r w:rsidR="00A546CF">
        <w:t xml:space="preserve"> </w:t>
      </w:r>
      <w:r w:rsidR="006B7D30">
        <w:t xml:space="preserve">current coverage is </w:t>
      </w:r>
      <w:r w:rsidR="0078371D">
        <w:t>~10</w:t>
      </w:r>
      <w:r w:rsidR="006B7D30">
        <w:t>%</w:t>
      </w:r>
      <w:r w:rsidR="00A546CF">
        <w:t>.</w:t>
      </w:r>
    </w:p>
    <w:p w:rsidR="004F0044" w:rsidRDefault="004F0044" w:rsidP="004F0044">
      <w:pPr>
        <w:pStyle w:val="ListParagraph"/>
      </w:pPr>
    </w:p>
    <w:p w:rsidR="006B7D30" w:rsidRDefault="006B60A6" w:rsidP="00A546CF">
      <w:pPr>
        <w:pStyle w:val="ListParagraph"/>
        <w:numPr>
          <w:ilvl w:val="0"/>
          <w:numId w:val="11"/>
        </w:numPr>
      </w:pPr>
      <w:r>
        <w:t>Treatment of diarrhea with zinc</w:t>
      </w:r>
      <w:r w:rsidR="003E1F2B">
        <w:t xml:space="preserve"> reduces severity and incidence of di</w:t>
      </w:r>
      <w:r w:rsidR="00C80F15">
        <w:t>sease</w:t>
      </w:r>
      <w:r w:rsidR="003E1F2B">
        <w:t>; currently zinc is only provided by health facility staff and the intervention reaches just</w:t>
      </w:r>
      <w:r w:rsidR="006B7D30" w:rsidRPr="006B7D30">
        <w:t xml:space="preserve"> </w:t>
      </w:r>
      <w:r w:rsidR="003E1F2B">
        <w:t>2% of children with diarrhea</w:t>
      </w:r>
      <w:r w:rsidR="00C80F15">
        <w:t xml:space="preserve">. </w:t>
      </w:r>
      <w:r w:rsidR="00365B70">
        <w:t>Policy has changed to allow distribution during outreach by health center staff and by VHSG in the community. This policy is not yet implemented.</w:t>
      </w:r>
    </w:p>
    <w:p w:rsidR="003E1F2B" w:rsidRDefault="003E1F2B" w:rsidP="003E1F2B">
      <w:pPr>
        <w:pStyle w:val="ListParagraph"/>
      </w:pPr>
    </w:p>
    <w:p w:rsidR="00365B70" w:rsidRDefault="00365B70" w:rsidP="00365B70">
      <w:pPr>
        <w:pStyle w:val="ListParagraph"/>
        <w:numPr>
          <w:ilvl w:val="0"/>
          <w:numId w:val="11"/>
        </w:numPr>
      </w:pPr>
      <w:r>
        <w:t xml:space="preserve">Iodized salt now reaches 83% of houses in Cambodia, but no other food is fortified at scale. Fortification is the most cost-effective, sustainable solution to micronutrient deficiency. Iron fortification is well studied in the country, it is feasible, and the National Sub Committee for Food Fortification has guidelines. </w:t>
      </w:r>
      <w:r w:rsidRPr="00365B70">
        <w:t xml:space="preserve">Legislation that makes iron fortification mandatory for importation and for domestic production is needed to scale-up the </w:t>
      </w:r>
      <w:proofErr w:type="spellStart"/>
      <w:r w:rsidRPr="00365B70">
        <w:t>programme</w:t>
      </w:r>
      <w:proofErr w:type="spellEnd"/>
      <w:r w:rsidRPr="00365B70">
        <w:t>.</w:t>
      </w:r>
      <w:r w:rsidR="002B47C8">
        <w:t xml:space="preserve"> In addition, a comprehensive strategy covering multiple foods is needed to provide all of the necessary micronutrients.</w:t>
      </w:r>
    </w:p>
    <w:p w:rsidR="003E1F2B" w:rsidRDefault="003E1F2B" w:rsidP="003E1F2B">
      <w:pPr>
        <w:pStyle w:val="ListParagraph"/>
      </w:pPr>
    </w:p>
    <w:p w:rsidR="003E1F2B" w:rsidRDefault="003E1F2B" w:rsidP="003E1F2B">
      <w:pPr>
        <w:pStyle w:val="ListParagraph"/>
      </w:pPr>
    </w:p>
    <w:p w:rsidR="003E1F2B" w:rsidRDefault="003E1F2B" w:rsidP="003E1F2B">
      <w:pPr>
        <w:pStyle w:val="ListParagraph"/>
      </w:pPr>
    </w:p>
    <w:p w:rsidR="00C80F15" w:rsidRDefault="00C80F15" w:rsidP="00401581">
      <w:pPr>
        <w:sectPr w:rsidR="00C80F15" w:rsidSect="0008465B">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52015" w:rsidRDefault="00B52015" w:rsidP="00C80F15">
      <w:pPr>
        <w:rPr>
          <w:rStyle w:val="Heading2Char"/>
        </w:rPr>
      </w:pPr>
    </w:p>
    <w:p w:rsidR="003E1F2B" w:rsidRDefault="00C80F15" w:rsidP="00F064CC">
      <w:r>
        <w:rPr>
          <w:rStyle w:val="Heading2Char"/>
        </w:rPr>
        <w:t xml:space="preserve">What </w:t>
      </w:r>
      <w:proofErr w:type="gramStart"/>
      <w:r>
        <w:rPr>
          <w:rStyle w:val="Heading2Char"/>
        </w:rPr>
        <w:t>Can</w:t>
      </w:r>
      <w:proofErr w:type="gramEnd"/>
      <w:r>
        <w:rPr>
          <w:rStyle w:val="Heading2Char"/>
        </w:rPr>
        <w:t xml:space="preserve"> be Done? (</w:t>
      </w:r>
      <w:proofErr w:type="gramStart"/>
      <w:r>
        <w:rPr>
          <w:rStyle w:val="Heading2Char"/>
        </w:rPr>
        <w:t>continued</w:t>
      </w:r>
      <w:proofErr w:type="gramEnd"/>
      <w:r>
        <w:rPr>
          <w:rStyle w:val="Heading2Char"/>
        </w:rPr>
        <w:t>)</w:t>
      </w:r>
    </w:p>
    <w:p w:rsidR="004F0044" w:rsidRDefault="004F0044" w:rsidP="004F0044">
      <w:pPr>
        <w:pStyle w:val="ListParagraph"/>
      </w:pPr>
    </w:p>
    <w:p w:rsidR="00401581" w:rsidRDefault="00F064CC" w:rsidP="00401581">
      <w:pPr>
        <w:pStyle w:val="ListParagraph"/>
        <w:numPr>
          <w:ilvl w:val="0"/>
          <w:numId w:val="11"/>
        </w:numPr>
      </w:pPr>
      <w:r>
        <w:t>Of the</w:t>
      </w:r>
      <w:r w:rsidR="00401581">
        <w:t xml:space="preserve"> estimated </w:t>
      </w:r>
      <w:r>
        <w:t>95</w:t>
      </w:r>
      <w:r w:rsidR="00401581">
        <w:t>,000 severely malnourished children</w:t>
      </w:r>
      <w:r>
        <w:t>, approximately 10% (9,500) require hospitalization.</w:t>
      </w:r>
      <w:r w:rsidR="00401581">
        <w:t xml:space="preserve"> </w:t>
      </w:r>
      <w:r>
        <w:t>Without</w:t>
      </w:r>
      <w:r w:rsidR="00401581">
        <w:t xml:space="preserve"> specialized treatment </w:t>
      </w:r>
      <w:r>
        <w:t>as many as 1 out of 5 of these children will die</w:t>
      </w:r>
      <w:r w:rsidR="00401581">
        <w:t xml:space="preserve">. </w:t>
      </w:r>
      <w:r>
        <w:t>Currently, hospitals are reaching ~1,500 severely malnourished children with complications each year (16%)</w:t>
      </w:r>
      <w:r w:rsidR="00401581">
        <w:t xml:space="preserve">. </w:t>
      </w:r>
      <w:r>
        <w:t>Improved</w:t>
      </w:r>
      <w:r w:rsidR="00401581">
        <w:t xml:space="preserve"> identification</w:t>
      </w:r>
      <w:r>
        <w:t xml:space="preserve"> of severe malnutrition at the health center and community levels, along with expansion of treatment to all hospitals, could help to save the lives of many children</w:t>
      </w:r>
      <w:r w:rsidR="00401581">
        <w:t>.</w:t>
      </w:r>
      <w:r w:rsidR="00F51B64">
        <w:t xml:space="preserve"> Targets for this intervention are not included in the Health Strategic Plan.</w:t>
      </w:r>
    </w:p>
    <w:p w:rsidR="00C80F15" w:rsidRDefault="00C80F15" w:rsidP="004F0044">
      <w:pPr>
        <w:pStyle w:val="ListParagraph"/>
      </w:pPr>
    </w:p>
    <w:p w:rsidR="002D18C9" w:rsidRDefault="00C80F15" w:rsidP="002D18C9">
      <w:pPr>
        <w:pStyle w:val="ListParagraph"/>
        <w:numPr>
          <w:ilvl w:val="0"/>
          <w:numId w:val="11"/>
        </w:numPr>
      </w:pPr>
      <w:r>
        <w:t>One reason malnutrition remains a critical issue is that 76% of children do not receive a minimum acceptable diet</w:t>
      </w:r>
      <w:r w:rsidR="004D1BB9">
        <w:t xml:space="preserve"> and this has not changed since 2005</w:t>
      </w:r>
      <w:r>
        <w:t xml:space="preserve">. </w:t>
      </w:r>
      <w:r w:rsidR="004F0044">
        <w:t xml:space="preserve">A communication strategy </w:t>
      </w:r>
      <w:r w:rsidR="00F51B64">
        <w:t>is currently being implemented</w:t>
      </w:r>
      <w:r w:rsidR="002D18C9">
        <w:t xml:space="preserve"> through the </w:t>
      </w:r>
      <w:proofErr w:type="spellStart"/>
      <w:r w:rsidR="002D18C9">
        <w:t>MoH</w:t>
      </w:r>
      <w:proofErr w:type="spellEnd"/>
      <w:r w:rsidR="002D18C9">
        <w:t xml:space="preserve"> and multiple agriculture-focused projects now include activities related to child feeding. However, complementary feeding is a complex behavior and behavior change may require sustained nutrition promotion.</w:t>
      </w:r>
      <w:r w:rsidR="002D18C9" w:rsidRPr="002D18C9">
        <w:t xml:space="preserve"> </w:t>
      </w:r>
    </w:p>
    <w:p w:rsidR="002D18C9" w:rsidRDefault="002D18C9" w:rsidP="002D18C9">
      <w:pPr>
        <w:pStyle w:val="ListParagraph"/>
      </w:pPr>
    </w:p>
    <w:p w:rsidR="002D18C9" w:rsidRDefault="002D18C9" w:rsidP="002D18C9">
      <w:pPr>
        <w:pStyle w:val="ListParagraph"/>
        <w:numPr>
          <w:ilvl w:val="0"/>
          <w:numId w:val="11"/>
        </w:numPr>
      </w:pPr>
      <w:r>
        <w:t xml:space="preserve">The recently established commune and district councils present an opportunity for sustained nutrition promotion with local financing, but currently these councils are almost exclusively involved in infrastructure. Community-based nutrition promotion could become a focus of the councils, if resources are allocated to social services. </w:t>
      </w:r>
    </w:p>
    <w:p w:rsidR="002D18C9" w:rsidRDefault="002D18C9" w:rsidP="002D18C9">
      <w:pPr>
        <w:pStyle w:val="ListParagraph"/>
      </w:pPr>
    </w:p>
    <w:p w:rsidR="002D18C9" w:rsidRDefault="002D18C9" w:rsidP="002D18C9">
      <w:pPr>
        <w:pStyle w:val="ListParagraph"/>
        <w:numPr>
          <w:ilvl w:val="0"/>
          <w:numId w:val="11"/>
        </w:numPr>
      </w:pPr>
      <w:r>
        <w:t xml:space="preserve">Increased coverage of deworming and treatment for both diarrhea and respiratory illness will help to reduce the incidence and severity of disease, but it will not address the underlying cause of disease: poor sanitation and hygiene. Disease limits the impact of nutrition promotion because it causes direct nutrient loss, reduces the body’s ability to use food, and decreases appetite. A large-scale strategy that eliminates open defecation and increases toilet use and </w:t>
      </w:r>
      <w:proofErr w:type="spellStart"/>
      <w:r>
        <w:t>handwashing</w:t>
      </w:r>
      <w:proofErr w:type="spellEnd"/>
      <w:r>
        <w:t xml:space="preserve"> is needed.</w:t>
      </w:r>
      <w:r w:rsidR="00057550">
        <w:t xml:space="preserve"> Integrating sanitation into large scale public works </w:t>
      </w:r>
      <w:proofErr w:type="spellStart"/>
      <w:r w:rsidR="00057550">
        <w:t>programmes</w:t>
      </w:r>
      <w:proofErr w:type="spellEnd"/>
      <w:r w:rsidR="00057550">
        <w:t xml:space="preserve"> could form part of this strategy.</w:t>
      </w:r>
      <w:r>
        <w:t xml:space="preserve"> </w:t>
      </w:r>
    </w:p>
    <w:p w:rsidR="002D18C9" w:rsidRDefault="002D18C9" w:rsidP="002D18C9">
      <w:pPr>
        <w:pStyle w:val="ListParagraph"/>
      </w:pPr>
    </w:p>
    <w:p w:rsidR="00C80F15" w:rsidRDefault="002D18C9" w:rsidP="00C80F15">
      <w:pPr>
        <w:pStyle w:val="ListParagraph"/>
        <w:numPr>
          <w:ilvl w:val="0"/>
          <w:numId w:val="11"/>
        </w:numPr>
      </w:pPr>
      <w:r>
        <w:t>For the poorest families in Cambodia nutrition promotion will not be sufficient because</w:t>
      </w:r>
      <w:r w:rsidR="002B47C8">
        <w:t xml:space="preserve"> nutritious food is not affordable. </w:t>
      </w:r>
      <w:r w:rsidR="00CC1D60">
        <w:t>The pilots on cash transfers will provide evidence for the feasibility of</w:t>
      </w:r>
      <w:r w:rsidR="002B47C8">
        <w:t xml:space="preserve"> scaling up</w:t>
      </w:r>
      <w:r w:rsidR="00CC1D60">
        <w:t xml:space="preserve"> financial assistance targeted to poor families. </w:t>
      </w:r>
      <w:r w:rsidR="002B47C8">
        <w:t>Homestead food production can also increase food access for poor families with some land. Homestead food production is not yet implemented at scale.</w:t>
      </w:r>
    </w:p>
    <w:p w:rsidR="0033733E" w:rsidRDefault="0033733E" w:rsidP="0033733E">
      <w:pPr>
        <w:pStyle w:val="ListParagraph"/>
      </w:pPr>
    </w:p>
    <w:p w:rsidR="0033733E" w:rsidRDefault="0033733E" w:rsidP="00C80F15">
      <w:pPr>
        <w:pStyle w:val="ListParagraph"/>
        <w:numPr>
          <w:ilvl w:val="0"/>
          <w:numId w:val="11"/>
        </w:numPr>
      </w:pPr>
      <w:r>
        <w:t>The recent establishment of an Emergency Rice Reserve will help to reduce the impact of disasters on malnutrition. The efficacy of rice fortification is currently being studied in the country. Fortification of the rice reserve and targeted distribution to poor households could be considered.</w:t>
      </w:r>
    </w:p>
    <w:p w:rsidR="006B60A6" w:rsidRDefault="006B60A6" w:rsidP="00C80F15">
      <w:pPr>
        <w:pStyle w:val="ListParagraph"/>
      </w:pPr>
    </w:p>
    <w:p w:rsidR="003850EE" w:rsidRPr="00624BED" w:rsidRDefault="004D1BB9" w:rsidP="00CA7054">
      <w:r w:rsidRPr="004D1BB9">
        <w:rPr>
          <w:noProof/>
        </w:rPr>
        <w:t xml:space="preserve"> </w:t>
      </w:r>
    </w:p>
    <w:sectPr w:rsidR="003850EE" w:rsidRPr="00624BED" w:rsidSect="0008465B">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0D" w:rsidRDefault="00681A0D" w:rsidP="00624BED">
      <w:pPr>
        <w:spacing w:after="0" w:line="240" w:lineRule="auto"/>
      </w:pPr>
      <w:r>
        <w:separator/>
      </w:r>
    </w:p>
  </w:endnote>
  <w:endnote w:type="continuationSeparator" w:id="0">
    <w:p w:rsidR="00681A0D" w:rsidRDefault="00681A0D" w:rsidP="0062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0D" w:rsidRDefault="00681A0D" w:rsidP="00624BED">
      <w:pPr>
        <w:spacing w:after="0" w:line="240" w:lineRule="auto"/>
      </w:pPr>
      <w:r>
        <w:separator/>
      </w:r>
    </w:p>
  </w:footnote>
  <w:footnote w:type="continuationSeparator" w:id="0">
    <w:p w:rsidR="00681A0D" w:rsidRDefault="00681A0D" w:rsidP="00624BED">
      <w:pPr>
        <w:spacing w:after="0" w:line="240" w:lineRule="auto"/>
      </w:pPr>
      <w:r>
        <w:continuationSeparator/>
      </w:r>
    </w:p>
  </w:footnote>
  <w:footnote w:id="1">
    <w:p w:rsidR="00B52015" w:rsidRDefault="00B52015">
      <w:pPr>
        <w:pStyle w:val="FootnoteText"/>
      </w:pPr>
      <w:r>
        <w:rPr>
          <w:rStyle w:val="FootnoteReference"/>
        </w:rPr>
        <w:footnoteRef/>
      </w:r>
      <w:r>
        <w:t xml:space="preserve"> All children, regardl</w:t>
      </w:r>
      <w:r w:rsidR="002E62F2">
        <w:t xml:space="preserve">ess of ethnicity, have the same </w:t>
      </w:r>
      <w:r>
        <w:t xml:space="preserve">potential for growth in </w:t>
      </w:r>
      <w:bookmarkStart w:id="0" w:name="_GoBack"/>
      <w:bookmarkEnd w:id="0"/>
      <w:r>
        <w:t xml:space="preserve">the first five years of life. Until age five, height and </w:t>
      </w:r>
      <w:r w:rsidR="00256D27">
        <w:t>weight are heavily dependent on</w:t>
      </w:r>
      <w:r>
        <w:t xml:space="preserve"> nutrition.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52015" w:rsidTr="00624BED">
      <w:trPr>
        <w:trHeight w:val="288"/>
      </w:trPr>
      <w:tc>
        <w:tcPr>
          <w:tcW w:w="8395" w:type="dxa"/>
        </w:tcPr>
        <w:p w:rsidR="00B52015" w:rsidRDefault="00B52015" w:rsidP="00624BED">
          <w:pPr>
            <w:pStyle w:val="Header"/>
            <w:jc w:val="right"/>
            <w:rPr>
              <w:rFonts w:asciiTheme="majorHAnsi" w:eastAsiaTheme="majorEastAsia" w:hAnsiTheme="majorHAnsi" w:cstheme="majorBidi"/>
              <w:sz w:val="36"/>
            </w:rPr>
          </w:pPr>
          <w:r w:rsidRPr="007D37EB">
            <w:rPr>
              <w:rFonts w:asciiTheme="majorHAnsi" w:eastAsiaTheme="majorEastAsia" w:hAnsiTheme="majorHAnsi" w:cstheme="majorBidi"/>
              <w:sz w:val="32"/>
              <w:szCs w:val="32"/>
            </w:rPr>
            <w:t>Early Childhood Nutrition Fact Sheet - Cambodia</w:t>
          </w:r>
          <w:r>
            <w:rPr>
              <w:rFonts w:asciiTheme="majorHAnsi" w:eastAsiaTheme="majorEastAsia" w:hAnsiTheme="majorHAnsi" w:cstheme="majorBidi"/>
              <w:sz w:val="36"/>
            </w:rPr>
            <w:t xml:space="preserve"> </w:t>
          </w:r>
        </w:p>
      </w:tc>
      <w:sdt>
        <w:sdtPr>
          <w:rPr>
            <w:rFonts w:asciiTheme="majorHAnsi" w:eastAsiaTheme="majorEastAsia" w:hAnsiTheme="majorHAnsi" w:cstheme="majorBidi"/>
            <w:b/>
            <w:bCs/>
            <w:color w:val="4F81BD" w:themeColor="accent1"/>
            <w:sz w:val="36"/>
          </w:rPr>
          <w:alias w:val="Year"/>
          <w:id w:val="12917507"/>
          <w:placeholder>
            <w:docPart w:val="FA6F382B7FFF4709BE877EE85EF28BF8"/>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95" w:type="dxa"/>
            </w:tcPr>
            <w:p w:rsidR="00B52015" w:rsidRDefault="0021380D" w:rsidP="00857845">
              <w:pPr>
                <w:pStyle w:val="Header"/>
                <w:rPr>
                  <w:rFonts w:asciiTheme="majorHAnsi" w:eastAsiaTheme="majorEastAsia" w:hAnsiTheme="majorHAnsi" w:cstheme="majorBidi"/>
                  <w:b/>
                  <w:bCs/>
                  <w:color w:val="4F81BD" w:themeColor="accent1"/>
                  <w:sz w:val="36"/>
                </w:rPr>
              </w:pPr>
              <w:r>
                <w:rPr>
                  <w:rFonts w:asciiTheme="majorHAnsi" w:eastAsiaTheme="majorEastAsia" w:hAnsiTheme="majorHAnsi" w:cstheme="majorBidi"/>
                  <w:b/>
                  <w:bCs/>
                  <w:color w:val="4F81BD" w:themeColor="accent1"/>
                  <w:sz w:val="36"/>
                </w:rPr>
                <w:t>201</w:t>
              </w:r>
              <w:r w:rsidR="00857845">
                <w:rPr>
                  <w:rFonts w:asciiTheme="majorHAnsi" w:eastAsiaTheme="majorEastAsia" w:hAnsiTheme="majorHAnsi" w:cstheme="majorBidi"/>
                  <w:b/>
                  <w:bCs/>
                  <w:color w:val="4F81BD" w:themeColor="accent1"/>
                  <w:sz w:val="36"/>
                </w:rPr>
                <w:t>3</w:t>
              </w:r>
            </w:p>
          </w:tc>
        </w:sdtContent>
      </w:sdt>
    </w:tr>
  </w:tbl>
  <w:p w:rsidR="00B52015" w:rsidRDefault="00B5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5B0"/>
    <w:multiLevelType w:val="hybridMultilevel"/>
    <w:tmpl w:val="70F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41D"/>
    <w:multiLevelType w:val="hybridMultilevel"/>
    <w:tmpl w:val="7F14C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7089"/>
    <w:multiLevelType w:val="hybridMultilevel"/>
    <w:tmpl w:val="08B46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5C4E"/>
    <w:multiLevelType w:val="hybridMultilevel"/>
    <w:tmpl w:val="E98A0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C00AB"/>
    <w:multiLevelType w:val="hybridMultilevel"/>
    <w:tmpl w:val="BC8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303A"/>
    <w:multiLevelType w:val="hybridMultilevel"/>
    <w:tmpl w:val="AB7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21754"/>
    <w:multiLevelType w:val="hybridMultilevel"/>
    <w:tmpl w:val="40A2D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90FFE"/>
    <w:multiLevelType w:val="hybridMultilevel"/>
    <w:tmpl w:val="55D66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3028"/>
    <w:multiLevelType w:val="hybridMultilevel"/>
    <w:tmpl w:val="3BF0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92B10"/>
    <w:multiLevelType w:val="hybridMultilevel"/>
    <w:tmpl w:val="ECC49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D1F4F"/>
    <w:multiLevelType w:val="hybridMultilevel"/>
    <w:tmpl w:val="846C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2"/>
  </w:num>
  <w:num w:numId="6">
    <w:abstractNumId w:val="8"/>
  </w:num>
  <w:num w:numId="7">
    <w:abstractNumId w:val="6"/>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ED"/>
    <w:rsid w:val="000221B7"/>
    <w:rsid w:val="00057550"/>
    <w:rsid w:val="000700A5"/>
    <w:rsid w:val="00074CB2"/>
    <w:rsid w:val="000831FC"/>
    <w:rsid w:val="0008465B"/>
    <w:rsid w:val="000948E6"/>
    <w:rsid w:val="00095C3E"/>
    <w:rsid w:val="000E5C09"/>
    <w:rsid w:val="000E6628"/>
    <w:rsid w:val="000E66C1"/>
    <w:rsid w:val="000F76F3"/>
    <w:rsid w:val="001237A0"/>
    <w:rsid w:val="00141BC8"/>
    <w:rsid w:val="001449AA"/>
    <w:rsid w:val="00154926"/>
    <w:rsid w:val="001563F0"/>
    <w:rsid w:val="00181978"/>
    <w:rsid w:val="001A4939"/>
    <w:rsid w:val="001B609F"/>
    <w:rsid w:val="001B6AB6"/>
    <w:rsid w:val="001C1C42"/>
    <w:rsid w:val="001C7412"/>
    <w:rsid w:val="001F26B8"/>
    <w:rsid w:val="0021380D"/>
    <w:rsid w:val="00214457"/>
    <w:rsid w:val="00254212"/>
    <w:rsid w:val="00256D27"/>
    <w:rsid w:val="0026151D"/>
    <w:rsid w:val="00282608"/>
    <w:rsid w:val="002B47C8"/>
    <w:rsid w:val="002C53CC"/>
    <w:rsid w:val="002D18C9"/>
    <w:rsid w:val="002D759C"/>
    <w:rsid w:val="002E61C2"/>
    <w:rsid w:val="002E62F2"/>
    <w:rsid w:val="00301422"/>
    <w:rsid w:val="00313444"/>
    <w:rsid w:val="003152F4"/>
    <w:rsid w:val="0033733E"/>
    <w:rsid w:val="0036477E"/>
    <w:rsid w:val="00365B70"/>
    <w:rsid w:val="003850EE"/>
    <w:rsid w:val="003C01CF"/>
    <w:rsid w:val="003E1F2B"/>
    <w:rsid w:val="00401581"/>
    <w:rsid w:val="00415BCA"/>
    <w:rsid w:val="00416EE9"/>
    <w:rsid w:val="00421DA9"/>
    <w:rsid w:val="00422099"/>
    <w:rsid w:val="0042320E"/>
    <w:rsid w:val="00435A1E"/>
    <w:rsid w:val="004448C3"/>
    <w:rsid w:val="004951A0"/>
    <w:rsid w:val="004D1BB9"/>
    <w:rsid w:val="004E5467"/>
    <w:rsid w:val="004F0044"/>
    <w:rsid w:val="005115B1"/>
    <w:rsid w:val="005311AA"/>
    <w:rsid w:val="00561A70"/>
    <w:rsid w:val="005853E0"/>
    <w:rsid w:val="005E7E7C"/>
    <w:rsid w:val="00624BED"/>
    <w:rsid w:val="00633EFB"/>
    <w:rsid w:val="00681A0D"/>
    <w:rsid w:val="00691706"/>
    <w:rsid w:val="006B60A6"/>
    <w:rsid w:val="006B7D30"/>
    <w:rsid w:val="006D2608"/>
    <w:rsid w:val="0077662B"/>
    <w:rsid w:val="0078371D"/>
    <w:rsid w:val="007A036A"/>
    <w:rsid w:val="007A0693"/>
    <w:rsid w:val="007C3D4B"/>
    <w:rsid w:val="007D37EB"/>
    <w:rsid w:val="00805047"/>
    <w:rsid w:val="00825136"/>
    <w:rsid w:val="008364D3"/>
    <w:rsid w:val="00842C29"/>
    <w:rsid w:val="00857845"/>
    <w:rsid w:val="008667BD"/>
    <w:rsid w:val="008B4F9A"/>
    <w:rsid w:val="008C2F8C"/>
    <w:rsid w:val="008C4299"/>
    <w:rsid w:val="008C71CE"/>
    <w:rsid w:val="0092363C"/>
    <w:rsid w:val="00941C9A"/>
    <w:rsid w:val="0094513D"/>
    <w:rsid w:val="00947FD0"/>
    <w:rsid w:val="009542DC"/>
    <w:rsid w:val="00966D80"/>
    <w:rsid w:val="00990FEC"/>
    <w:rsid w:val="009938CF"/>
    <w:rsid w:val="00996ADA"/>
    <w:rsid w:val="009A0D6A"/>
    <w:rsid w:val="009B2382"/>
    <w:rsid w:val="009C6D57"/>
    <w:rsid w:val="009D62BA"/>
    <w:rsid w:val="00A20D9D"/>
    <w:rsid w:val="00A5200B"/>
    <w:rsid w:val="00A546CF"/>
    <w:rsid w:val="00A60D31"/>
    <w:rsid w:val="00AA62F0"/>
    <w:rsid w:val="00AA6F0F"/>
    <w:rsid w:val="00AE1B36"/>
    <w:rsid w:val="00AF355C"/>
    <w:rsid w:val="00AF7253"/>
    <w:rsid w:val="00B2584E"/>
    <w:rsid w:val="00B30D3C"/>
    <w:rsid w:val="00B52015"/>
    <w:rsid w:val="00B54DF7"/>
    <w:rsid w:val="00B60720"/>
    <w:rsid w:val="00B81571"/>
    <w:rsid w:val="00BE77AB"/>
    <w:rsid w:val="00BF2D20"/>
    <w:rsid w:val="00C33BE4"/>
    <w:rsid w:val="00C43685"/>
    <w:rsid w:val="00C80F15"/>
    <w:rsid w:val="00C9232D"/>
    <w:rsid w:val="00CA55B9"/>
    <w:rsid w:val="00CA7054"/>
    <w:rsid w:val="00CB598E"/>
    <w:rsid w:val="00CC1D60"/>
    <w:rsid w:val="00CD46FE"/>
    <w:rsid w:val="00CF490B"/>
    <w:rsid w:val="00D47646"/>
    <w:rsid w:val="00D71428"/>
    <w:rsid w:val="00D76606"/>
    <w:rsid w:val="00D854B5"/>
    <w:rsid w:val="00DC3DEF"/>
    <w:rsid w:val="00DE38D9"/>
    <w:rsid w:val="00E46C95"/>
    <w:rsid w:val="00F0210F"/>
    <w:rsid w:val="00F064CC"/>
    <w:rsid w:val="00F363E5"/>
    <w:rsid w:val="00F4728B"/>
    <w:rsid w:val="00F51B64"/>
    <w:rsid w:val="00F74A26"/>
    <w:rsid w:val="00F84324"/>
    <w:rsid w:val="00F90848"/>
    <w:rsid w:val="00FC6DB9"/>
    <w:rsid w:val="00FD07D5"/>
    <w:rsid w:val="00FE19BF"/>
    <w:rsid w:val="00FE6F52"/>
    <w:rsid w:val="00FF4EEE"/>
    <w:rsid w:val="00FF7C1E"/>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D"/>
  </w:style>
  <w:style w:type="paragraph" w:styleId="Footer">
    <w:name w:val="footer"/>
    <w:basedOn w:val="Normal"/>
    <w:link w:val="FooterChar"/>
    <w:uiPriority w:val="99"/>
    <w:unhideWhenUsed/>
    <w:rsid w:val="0062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D"/>
  </w:style>
  <w:style w:type="paragraph" w:styleId="BalloonText">
    <w:name w:val="Balloon Text"/>
    <w:basedOn w:val="Normal"/>
    <w:link w:val="BalloonTextChar"/>
    <w:uiPriority w:val="99"/>
    <w:semiHidden/>
    <w:unhideWhenUsed/>
    <w:rsid w:val="0062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D"/>
    <w:rPr>
      <w:rFonts w:ascii="Tahoma" w:hAnsi="Tahoma" w:cs="Tahoma"/>
      <w:sz w:val="16"/>
      <w:szCs w:val="16"/>
    </w:rPr>
  </w:style>
  <w:style w:type="character" w:customStyle="1" w:styleId="Heading2Char">
    <w:name w:val="Heading 2 Char"/>
    <w:basedOn w:val="DefaultParagraphFont"/>
    <w:link w:val="Heading2"/>
    <w:uiPriority w:val="9"/>
    <w:rsid w:val="003850E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5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5B1"/>
    <w:rPr>
      <w:sz w:val="20"/>
      <w:szCs w:val="20"/>
    </w:rPr>
  </w:style>
  <w:style w:type="character" w:styleId="FootnoteReference">
    <w:name w:val="footnote reference"/>
    <w:basedOn w:val="DefaultParagraphFont"/>
    <w:uiPriority w:val="99"/>
    <w:semiHidden/>
    <w:unhideWhenUsed/>
    <w:rsid w:val="005115B1"/>
    <w:rPr>
      <w:vertAlign w:val="superscript"/>
    </w:rPr>
  </w:style>
  <w:style w:type="character" w:styleId="CommentReference">
    <w:name w:val="annotation reference"/>
    <w:basedOn w:val="DefaultParagraphFont"/>
    <w:uiPriority w:val="99"/>
    <w:semiHidden/>
    <w:unhideWhenUsed/>
    <w:rsid w:val="001449AA"/>
    <w:rPr>
      <w:sz w:val="16"/>
      <w:szCs w:val="16"/>
    </w:rPr>
  </w:style>
  <w:style w:type="paragraph" w:styleId="CommentText">
    <w:name w:val="annotation text"/>
    <w:basedOn w:val="Normal"/>
    <w:link w:val="CommentTextChar"/>
    <w:uiPriority w:val="99"/>
    <w:semiHidden/>
    <w:unhideWhenUsed/>
    <w:rsid w:val="001449AA"/>
    <w:pPr>
      <w:spacing w:line="240" w:lineRule="auto"/>
    </w:pPr>
    <w:rPr>
      <w:sz w:val="20"/>
      <w:szCs w:val="20"/>
    </w:rPr>
  </w:style>
  <w:style w:type="character" w:customStyle="1" w:styleId="CommentTextChar">
    <w:name w:val="Comment Text Char"/>
    <w:basedOn w:val="DefaultParagraphFont"/>
    <w:link w:val="CommentText"/>
    <w:uiPriority w:val="99"/>
    <w:semiHidden/>
    <w:rsid w:val="001449AA"/>
    <w:rPr>
      <w:sz w:val="20"/>
      <w:szCs w:val="20"/>
    </w:rPr>
  </w:style>
  <w:style w:type="paragraph" w:styleId="CommentSubject">
    <w:name w:val="annotation subject"/>
    <w:basedOn w:val="CommentText"/>
    <w:next w:val="CommentText"/>
    <w:link w:val="CommentSubjectChar"/>
    <w:uiPriority w:val="99"/>
    <w:semiHidden/>
    <w:unhideWhenUsed/>
    <w:rsid w:val="001449AA"/>
    <w:rPr>
      <w:b/>
      <w:bCs/>
    </w:rPr>
  </w:style>
  <w:style w:type="character" w:customStyle="1" w:styleId="CommentSubjectChar">
    <w:name w:val="Comment Subject Char"/>
    <w:basedOn w:val="CommentTextChar"/>
    <w:link w:val="CommentSubject"/>
    <w:uiPriority w:val="99"/>
    <w:semiHidden/>
    <w:rsid w:val="001449AA"/>
    <w:rPr>
      <w:b/>
      <w:bCs/>
      <w:sz w:val="20"/>
      <w:szCs w:val="20"/>
    </w:rPr>
  </w:style>
  <w:style w:type="paragraph" w:styleId="ListParagraph">
    <w:name w:val="List Paragraph"/>
    <w:basedOn w:val="Normal"/>
    <w:uiPriority w:val="99"/>
    <w:qFormat/>
    <w:rsid w:val="001C7412"/>
    <w:pPr>
      <w:ind w:left="720"/>
      <w:contextualSpacing/>
    </w:pPr>
  </w:style>
  <w:style w:type="paragraph" w:styleId="Revision">
    <w:name w:val="Revision"/>
    <w:hidden/>
    <w:uiPriority w:val="99"/>
    <w:semiHidden/>
    <w:rsid w:val="00947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D"/>
  </w:style>
  <w:style w:type="paragraph" w:styleId="Footer">
    <w:name w:val="footer"/>
    <w:basedOn w:val="Normal"/>
    <w:link w:val="FooterChar"/>
    <w:uiPriority w:val="99"/>
    <w:unhideWhenUsed/>
    <w:rsid w:val="0062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D"/>
  </w:style>
  <w:style w:type="paragraph" w:styleId="BalloonText">
    <w:name w:val="Balloon Text"/>
    <w:basedOn w:val="Normal"/>
    <w:link w:val="BalloonTextChar"/>
    <w:uiPriority w:val="99"/>
    <w:semiHidden/>
    <w:unhideWhenUsed/>
    <w:rsid w:val="0062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D"/>
    <w:rPr>
      <w:rFonts w:ascii="Tahoma" w:hAnsi="Tahoma" w:cs="Tahoma"/>
      <w:sz w:val="16"/>
      <w:szCs w:val="16"/>
    </w:rPr>
  </w:style>
  <w:style w:type="character" w:customStyle="1" w:styleId="Heading2Char">
    <w:name w:val="Heading 2 Char"/>
    <w:basedOn w:val="DefaultParagraphFont"/>
    <w:link w:val="Heading2"/>
    <w:uiPriority w:val="9"/>
    <w:rsid w:val="003850E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5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5B1"/>
    <w:rPr>
      <w:sz w:val="20"/>
      <w:szCs w:val="20"/>
    </w:rPr>
  </w:style>
  <w:style w:type="character" w:styleId="FootnoteReference">
    <w:name w:val="footnote reference"/>
    <w:basedOn w:val="DefaultParagraphFont"/>
    <w:uiPriority w:val="99"/>
    <w:semiHidden/>
    <w:unhideWhenUsed/>
    <w:rsid w:val="005115B1"/>
    <w:rPr>
      <w:vertAlign w:val="superscript"/>
    </w:rPr>
  </w:style>
  <w:style w:type="character" w:styleId="CommentReference">
    <w:name w:val="annotation reference"/>
    <w:basedOn w:val="DefaultParagraphFont"/>
    <w:uiPriority w:val="99"/>
    <w:semiHidden/>
    <w:unhideWhenUsed/>
    <w:rsid w:val="001449AA"/>
    <w:rPr>
      <w:sz w:val="16"/>
      <w:szCs w:val="16"/>
    </w:rPr>
  </w:style>
  <w:style w:type="paragraph" w:styleId="CommentText">
    <w:name w:val="annotation text"/>
    <w:basedOn w:val="Normal"/>
    <w:link w:val="CommentTextChar"/>
    <w:uiPriority w:val="99"/>
    <w:semiHidden/>
    <w:unhideWhenUsed/>
    <w:rsid w:val="001449AA"/>
    <w:pPr>
      <w:spacing w:line="240" w:lineRule="auto"/>
    </w:pPr>
    <w:rPr>
      <w:sz w:val="20"/>
      <w:szCs w:val="20"/>
    </w:rPr>
  </w:style>
  <w:style w:type="character" w:customStyle="1" w:styleId="CommentTextChar">
    <w:name w:val="Comment Text Char"/>
    <w:basedOn w:val="DefaultParagraphFont"/>
    <w:link w:val="CommentText"/>
    <w:uiPriority w:val="99"/>
    <w:semiHidden/>
    <w:rsid w:val="001449AA"/>
    <w:rPr>
      <w:sz w:val="20"/>
      <w:szCs w:val="20"/>
    </w:rPr>
  </w:style>
  <w:style w:type="paragraph" w:styleId="CommentSubject">
    <w:name w:val="annotation subject"/>
    <w:basedOn w:val="CommentText"/>
    <w:next w:val="CommentText"/>
    <w:link w:val="CommentSubjectChar"/>
    <w:uiPriority w:val="99"/>
    <w:semiHidden/>
    <w:unhideWhenUsed/>
    <w:rsid w:val="001449AA"/>
    <w:rPr>
      <w:b/>
      <w:bCs/>
    </w:rPr>
  </w:style>
  <w:style w:type="character" w:customStyle="1" w:styleId="CommentSubjectChar">
    <w:name w:val="Comment Subject Char"/>
    <w:basedOn w:val="CommentTextChar"/>
    <w:link w:val="CommentSubject"/>
    <w:uiPriority w:val="99"/>
    <w:semiHidden/>
    <w:rsid w:val="001449AA"/>
    <w:rPr>
      <w:b/>
      <w:bCs/>
      <w:sz w:val="20"/>
      <w:szCs w:val="20"/>
    </w:rPr>
  </w:style>
  <w:style w:type="paragraph" w:styleId="ListParagraph">
    <w:name w:val="List Paragraph"/>
    <w:basedOn w:val="Normal"/>
    <w:uiPriority w:val="99"/>
    <w:qFormat/>
    <w:rsid w:val="001C7412"/>
    <w:pPr>
      <w:ind w:left="720"/>
      <w:contextualSpacing/>
    </w:pPr>
  </w:style>
  <w:style w:type="paragraph" w:styleId="Revision">
    <w:name w:val="Revision"/>
    <w:hidden/>
    <w:uiPriority w:val="99"/>
    <w:semiHidden/>
    <w:rsid w:val="00947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bdaapps02\driveM\7.%20MNCH-N\1.%20Planning,%20monitoring%20and%20evaluation\NUTRITION\M&amp;E%20-%20NUTRITION\HOUSEHOLD%20SURVEYS\NUTRITION%20HH%20SURVEY%20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daapps02\driveM\7.%20MNCH-N\3.%20Technical%20documents%20-%20knowledge%20management\NUTRITION\M&amp;E%20-%20NUTRITION\HOUSEHOLD%20SURVEYS\NUTRITION%20HH%20SURVEY%20TREN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daapps01\driveM\General\%23%20MNCH-N\NUTRITION\M&amp;E%20-%20NUTRITION\HOUSEHOLD%20SURVEYS\NUTRITION%20HH%20SURVEY%20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dLbl>
          <c:idx val="0"/>
          <c:spPr/>
          <c:txPr>
            <a:bodyPr/>
            <a:lstStyle/>
            <a:p>
              <a:pPr>
                <a:defRPr/>
              </a:pPr>
              <a:endParaRPr lang="en-US"/>
            </a:p>
          </c:txPr>
          <c:showLegendKey val="0"/>
          <c:showVal val="1"/>
          <c:showCatName val="0"/>
          <c:showSerName val="0"/>
          <c:showPercent val="0"/>
          <c:showBubbleSize val="0"/>
        </c:dLbl>
      </c:pivotFmt>
      <c:pivotFmt>
        <c:idx val="61"/>
        <c:marker>
          <c:symbol val="none"/>
        </c:marker>
      </c:pivotFmt>
      <c:pivotFmt>
        <c:idx val="62"/>
        <c:marker>
          <c:symbol val="none"/>
        </c:marker>
      </c:pivotFmt>
      <c:pivotFmt>
        <c:idx val="63"/>
        <c:marker>
          <c:symbol val="none"/>
        </c:marker>
        <c:dLbl>
          <c:idx val="0"/>
          <c:spPr/>
          <c:txPr>
            <a:bodyPr/>
            <a:lstStyle/>
            <a:p>
              <a:pPr>
                <a:defRPr/>
              </a:pPr>
              <a:endParaRPr lang="en-US"/>
            </a:p>
          </c:txPr>
          <c:showLegendKey val="0"/>
          <c:showVal val="1"/>
          <c:showCatName val="0"/>
          <c:showSerName val="0"/>
          <c:showPercent val="0"/>
          <c:showBubbleSize val="0"/>
        </c:dLbl>
      </c:pivotFmt>
      <c:pivotFmt>
        <c:idx val="64"/>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manualLayout>
          <c:layoutTarget val="inner"/>
          <c:xMode val="edge"/>
          <c:yMode val="edge"/>
          <c:x val="2.4649859943977601E-2"/>
          <c:y val="0.15770537133562548"/>
          <c:w val="0.95070028011204477"/>
          <c:h val="0.55839651029536796"/>
        </c:manualLayout>
      </c:layout>
      <c:barChart>
        <c:barDir val="col"/>
        <c:grouping val="clustered"/>
        <c:varyColors val="0"/>
        <c:ser>
          <c:idx val="0"/>
          <c:order val="0"/>
          <c:tx>
            <c:strRef>
              <c:f>Sheet1!$B$3</c:f>
              <c:strCache>
                <c:ptCount val="1"/>
                <c:pt idx="0">
                  <c:v>Total</c:v>
                </c:pt>
              </c:strCache>
            </c:strRef>
          </c:tx>
          <c:invertIfNegative val="0"/>
          <c:dPt>
            <c:idx val="3"/>
            <c:invertIfNegative val="0"/>
            <c:bubble3D val="0"/>
            <c:spPr>
              <a:solidFill>
                <a:srgbClr val="FF0000"/>
              </a:solidFill>
            </c:spPr>
          </c:dPt>
          <c:dPt>
            <c:idx val="7"/>
            <c:invertIfNegative val="0"/>
            <c:bubble3D val="0"/>
            <c:spPr>
              <a:solidFill>
                <a:srgbClr val="FF0000"/>
              </a:solidFill>
              <a:ln>
                <a:solidFill>
                  <a:schemeClr val="accent1"/>
                </a:solidFill>
              </a:ln>
            </c:spPr>
          </c:dPt>
          <c:dPt>
            <c:idx val="11"/>
            <c:invertIfNegative val="0"/>
            <c:bubble3D val="0"/>
            <c:spPr>
              <a:solidFill>
                <a:srgbClr val="FF0000"/>
              </a:solidFill>
            </c:spPr>
          </c:dPt>
          <c:dLbls>
            <c:txPr>
              <a:bodyPr/>
              <a:lstStyle/>
              <a:p>
                <a:pPr>
                  <a:defRPr sz="800"/>
                </a:pPr>
                <a:endParaRPr lang="en-US"/>
              </a:p>
            </c:txPr>
            <c:showLegendKey val="0"/>
            <c:showVal val="1"/>
            <c:showCatName val="0"/>
            <c:showSerName val="0"/>
            <c:showPercent val="0"/>
            <c:showBubbleSize val="0"/>
            <c:showLeaderLines val="0"/>
          </c:dLbls>
          <c:cat>
            <c:multiLvlStrRef>
              <c:f>Sheet1!$A$4:$A$21</c:f>
              <c:multiLvlStrCache>
                <c:ptCount val="12"/>
                <c:lvl>
                  <c:pt idx="0">
                    <c:v>CDHS 2000</c:v>
                  </c:pt>
                  <c:pt idx="1">
                    <c:v>CDHS 2005</c:v>
                  </c:pt>
                  <c:pt idx="2">
                    <c:v>CAS 2008</c:v>
                  </c:pt>
                  <c:pt idx="3">
                    <c:v>CDHS 2010</c:v>
                  </c:pt>
                  <c:pt idx="4">
                    <c:v>CDHS 2000</c:v>
                  </c:pt>
                  <c:pt idx="5">
                    <c:v>CDHS 2005</c:v>
                  </c:pt>
                  <c:pt idx="6">
                    <c:v>CAS 2008</c:v>
                  </c:pt>
                  <c:pt idx="7">
                    <c:v>CDHS 2010</c:v>
                  </c:pt>
                  <c:pt idx="8">
                    <c:v>CDHS 2000</c:v>
                  </c:pt>
                  <c:pt idx="9">
                    <c:v>CDHS 2005</c:v>
                  </c:pt>
                  <c:pt idx="10">
                    <c:v>CAS 2008</c:v>
                  </c:pt>
                  <c:pt idx="11">
                    <c:v>CDHS 2010</c:v>
                  </c:pt>
                </c:lvl>
                <c:lvl>
                  <c:pt idx="0">
                    <c:v>UNDERWEIGHT</c:v>
                  </c:pt>
                  <c:pt idx="4">
                    <c:v>STUNTED (short)</c:v>
                  </c:pt>
                  <c:pt idx="8">
                    <c:v>WASTED (thin)</c:v>
                  </c:pt>
                </c:lvl>
              </c:multiLvlStrCache>
            </c:multiLvlStrRef>
          </c:cat>
          <c:val>
            <c:numRef>
              <c:f>Sheet1!$B$4:$B$21</c:f>
              <c:numCache>
                <c:formatCode>General</c:formatCode>
                <c:ptCount val="12"/>
                <c:pt idx="0">
                  <c:v>38.4</c:v>
                </c:pt>
                <c:pt idx="1">
                  <c:v>28.2</c:v>
                </c:pt>
                <c:pt idx="2">
                  <c:v>28.8</c:v>
                </c:pt>
                <c:pt idx="3">
                  <c:v>28.3</c:v>
                </c:pt>
                <c:pt idx="4">
                  <c:v>49.7</c:v>
                </c:pt>
                <c:pt idx="5">
                  <c:v>43.2</c:v>
                </c:pt>
                <c:pt idx="6">
                  <c:v>39.5</c:v>
                </c:pt>
                <c:pt idx="7">
                  <c:v>39.9</c:v>
                </c:pt>
                <c:pt idx="8">
                  <c:v>16.8</c:v>
                </c:pt>
                <c:pt idx="9">
                  <c:v>8.4</c:v>
                </c:pt>
                <c:pt idx="10">
                  <c:v>8.9</c:v>
                </c:pt>
                <c:pt idx="11">
                  <c:v>10.9</c:v>
                </c:pt>
              </c:numCache>
            </c:numRef>
          </c:val>
        </c:ser>
        <c:dLbls>
          <c:showLegendKey val="0"/>
          <c:showVal val="1"/>
          <c:showCatName val="0"/>
          <c:showSerName val="0"/>
          <c:showPercent val="0"/>
          <c:showBubbleSize val="0"/>
        </c:dLbls>
        <c:gapWidth val="150"/>
        <c:overlap val="-25"/>
        <c:axId val="76537856"/>
        <c:axId val="76599296"/>
      </c:barChart>
      <c:catAx>
        <c:axId val="76537856"/>
        <c:scaling>
          <c:orientation val="minMax"/>
        </c:scaling>
        <c:delete val="0"/>
        <c:axPos val="b"/>
        <c:majorTickMark val="none"/>
        <c:minorTickMark val="none"/>
        <c:tickLblPos val="nextTo"/>
        <c:txPr>
          <a:bodyPr/>
          <a:lstStyle/>
          <a:p>
            <a:pPr>
              <a:defRPr sz="700"/>
            </a:pPr>
            <a:endParaRPr lang="en-US"/>
          </a:p>
        </c:txPr>
        <c:crossAx val="76599296"/>
        <c:crosses val="autoZero"/>
        <c:auto val="1"/>
        <c:lblAlgn val="ctr"/>
        <c:lblOffset val="100"/>
        <c:noMultiLvlLbl val="0"/>
      </c:catAx>
      <c:valAx>
        <c:axId val="76599296"/>
        <c:scaling>
          <c:orientation val="minMax"/>
        </c:scaling>
        <c:delete val="1"/>
        <c:axPos val="l"/>
        <c:numFmt formatCode="General" sourceLinked="1"/>
        <c:majorTickMark val="none"/>
        <c:minorTickMark val="none"/>
        <c:tickLblPos val="none"/>
        <c:crossAx val="7653785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TRENDS.xlsx]EARLY INITIATION!PivotTable2</c:name>
    <c:fmtId val="-1"/>
  </c:pivotSource>
  <c:chart>
    <c:title>
      <c:tx>
        <c:rich>
          <a:bodyPr/>
          <a:lstStyle/>
          <a:p>
            <a:pPr>
              <a:defRPr sz="800"/>
            </a:pPr>
            <a:r>
              <a:rPr lang="en-US" sz="800"/>
              <a:t>Early initiation and exclusive breastfeeding in Cambodia from 2000-2010</a:t>
            </a:r>
          </a:p>
        </c:rich>
      </c:tx>
      <c:overlay val="0"/>
    </c:title>
    <c:autoTitleDeleted val="0"/>
    <c:pivotFmts>
      <c:pivotFmt>
        <c:idx val="0"/>
        <c:marker>
          <c:symbol val="none"/>
        </c:marker>
      </c:pivotFmt>
      <c:pivotFmt>
        <c:idx val="1"/>
        <c:marker>
          <c:symbol val="none"/>
        </c:marker>
      </c:pivotFmt>
      <c:pivotFmt>
        <c:idx val="2"/>
        <c:marker>
          <c:symbol val="none"/>
        </c:marker>
        <c:dLbl>
          <c:idx val="0"/>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pivotFmt>
      <c:pivotFmt>
        <c:idx val="5"/>
        <c:marker>
          <c:symbol val="none"/>
        </c:marker>
        <c:dLbl>
          <c:idx val="0"/>
          <c:showLegendKey val="0"/>
          <c:showVal val="1"/>
          <c:showCatName val="0"/>
          <c:showSerName val="0"/>
          <c:showPercent val="0"/>
          <c:showBubbleSize val="0"/>
        </c:dLbl>
      </c:pivotFmt>
      <c:pivotFmt>
        <c:idx val="6"/>
        <c:marker>
          <c:symbol val="none"/>
        </c:marker>
      </c:pivotFmt>
      <c:pivotFmt>
        <c:idx val="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0"/>
        <c:marker>
          <c:symbol val="none"/>
        </c:marker>
      </c:pivotFmt>
      <c:pivotFmt>
        <c:idx val="11"/>
        <c:marker>
          <c:symbol val="none"/>
        </c:marker>
      </c:pivotFmt>
      <c:pivotFmt>
        <c:idx val="12"/>
        <c:marker>
          <c:symbol val="none"/>
        </c:marker>
      </c:pivotFmt>
      <c:pivotFmt>
        <c:idx val="13"/>
        <c:marker>
          <c:symbol val="none"/>
        </c:marker>
        <c:dLbl>
          <c:idx val="0"/>
          <c:showLegendKey val="0"/>
          <c:showVal val="1"/>
          <c:showCatName val="0"/>
          <c:showSerName val="0"/>
          <c:showPercent val="0"/>
          <c:showBubbleSize val="0"/>
        </c:dLbl>
      </c:pivotFmt>
      <c:pivotFmt>
        <c:idx val="1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'EARLY INITIATION'!$B$1:$B$2</c:f>
              <c:strCache>
                <c:ptCount val="1"/>
                <c:pt idx="0">
                  <c:v>CDHS 2000</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'EARLY INITIATION'!$A$3:$A$4</c:f>
              <c:strCache>
                <c:ptCount val="2"/>
                <c:pt idx="0">
                  <c:v>Breastfeeding within 1 hour</c:v>
                </c:pt>
                <c:pt idx="1">
                  <c:v>Exclusive breastfeeding</c:v>
                </c:pt>
              </c:strCache>
            </c:strRef>
          </c:cat>
          <c:val>
            <c:numRef>
              <c:f>'EARLY INITIATION'!$B$3:$B$4</c:f>
              <c:numCache>
                <c:formatCode>General</c:formatCode>
                <c:ptCount val="2"/>
                <c:pt idx="0">
                  <c:v>11</c:v>
                </c:pt>
                <c:pt idx="1">
                  <c:v>11.4</c:v>
                </c:pt>
              </c:numCache>
            </c:numRef>
          </c:val>
        </c:ser>
        <c:ser>
          <c:idx val="1"/>
          <c:order val="1"/>
          <c:tx>
            <c:strRef>
              <c:f>'EARLY INITIATION'!$C$1:$C$2</c:f>
              <c:strCache>
                <c:ptCount val="1"/>
                <c:pt idx="0">
                  <c:v>CDHS 2005</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'EARLY INITIATION'!$A$3:$A$4</c:f>
              <c:strCache>
                <c:ptCount val="2"/>
                <c:pt idx="0">
                  <c:v>Breastfeeding within 1 hour</c:v>
                </c:pt>
                <c:pt idx="1">
                  <c:v>Exclusive breastfeeding</c:v>
                </c:pt>
              </c:strCache>
            </c:strRef>
          </c:cat>
          <c:val>
            <c:numRef>
              <c:f>'EARLY INITIATION'!$C$3:$C$4</c:f>
              <c:numCache>
                <c:formatCode>General</c:formatCode>
                <c:ptCount val="2"/>
                <c:pt idx="0">
                  <c:v>35.1</c:v>
                </c:pt>
                <c:pt idx="1">
                  <c:v>60</c:v>
                </c:pt>
              </c:numCache>
            </c:numRef>
          </c:val>
        </c:ser>
        <c:ser>
          <c:idx val="2"/>
          <c:order val="2"/>
          <c:tx>
            <c:strRef>
              <c:f>'EARLY INITIATION'!$D$1:$D$2</c:f>
              <c:strCache>
                <c:ptCount val="1"/>
                <c:pt idx="0">
                  <c:v>CDHS 2010</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'EARLY INITIATION'!$A$3:$A$4</c:f>
              <c:strCache>
                <c:ptCount val="2"/>
                <c:pt idx="0">
                  <c:v>Breastfeeding within 1 hour</c:v>
                </c:pt>
                <c:pt idx="1">
                  <c:v>Exclusive breastfeeding</c:v>
                </c:pt>
              </c:strCache>
            </c:strRef>
          </c:cat>
          <c:val>
            <c:numRef>
              <c:f>'EARLY INITIATION'!$D$3:$D$4</c:f>
              <c:numCache>
                <c:formatCode>General</c:formatCode>
                <c:ptCount val="2"/>
                <c:pt idx="0">
                  <c:v>65.2</c:v>
                </c:pt>
                <c:pt idx="1">
                  <c:v>73.5</c:v>
                </c:pt>
              </c:numCache>
            </c:numRef>
          </c:val>
        </c:ser>
        <c:dLbls>
          <c:dLblPos val="outEnd"/>
          <c:showLegendKey val="0"/>
          <c:showVal val="1"/>
          <c:showCatName val="0"/>
          <c:showSerName val="0"/>
          <c:showPercent val="0"/>
          <c:showBubbleSize val="0"/>
        </c:dLbls>
        <c:gapWidth val="150"/>
        <c:overlap val="-25"/>
        <c:axId val="101715328"/>
        <c:axId val="101745792"/>
      </c:barChart>
      <c:catAx>
        <c:axId val="101715328"/>
        <c:scaling>
          <c:orientation val="minMax"/>
        </c:scaling>
        <c:delete val="0"/>
        <c:axPos val="b"/>
        <c:majorTickMark val="none"/>
        <c:minorTickMark val="none"/>
        <c:tickLblPos val="nextTo"/>
        <c:txPr>
          <a:bodyPr/>
          <a:lstStyle/>
          <a:p>
            <a:pPr>
              <a:defRPr sz="800"/>
            </a:pPr>
            <a:endParaRPr lang="en-US"/>
          </a:p>
        </c:txPr>
        <c:crossAx val="101745792"/>
        <c:crosses val="autoZero"/>
        <c:auto val="1"/>
        <c:lblAlgn val="ctr"/>
        <c:lblOffset val="100"/>
        <c:noMultiLvlLbl val="0"/>
      </c:catAx>
      <c:valAx>
        <c:axId val="101745792"/>
        <c:scaling>
          <c:orientation val="minMax"/>
        </c:scaling>
        <c:delete val="1"/>
        <c:axPos val="l"/>
        <c:numFmt formatCode="General" sourceLinked="1"/>
        <c:majorTickMark val="out"/>
        <c:minorTickMark val="none"/>
        <c:tickLblPos val="none"/>
        <c:crossAx val="101715328"/>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TRENDS.xlsx]CHILD MICRO SUPP!PivotTable3</c:name>
    <c:fmtId val="-1"/>
  </c:pivotSource>
  <c:chart>
    <c:title>
      <c:tx>
        <c:rich>
          <a:bodyPr/>
          <a:lstStyle/>
          <a:p>
            <a:pPr>
              <a:defRPr sz="800"/>
            </a:pPr>
            <a:r>
              <a:rPr lang="en-US" sz="800" dirty="0"/>
              <a:t>Coverage of vitamin A </a:t>
            </a:r>
            <a:r>
              <a:rPr lang="en-US" sz="800" dirty="0" smtClean="0"/>
              <a:t>supplementation for children U-5  </a:t>
            </a:r>
            <a:r>
              <a:rPr lang="en-US" sz="800" dirty="0"/>
              <a:t>and deworming for children </a:t>
            </a:r>
            <a:r>
              <a:rPr lang="en-US" sz="800" dirty="0" smtClean="0"/>
              <a:t>1-5 </a:t>
            </a:r>
            <a:r>
              <a:rPr lang="en-US" sz="800" dirty="0"/>
              <a:t>in Cambodia from 2000-2010</a:t>
            </a:r>
          </a:p>
        </c:rich>
      </c:tx>
      <c:overlay val="0"/>
    </c:title>
    <c:autoTitleDeleted val="0"/>
    <c:pivotFmts>
      <c:pivotFmt>
        <c:idx val="0"/>
      </c:pivotFmt>
      <c:pivotFmt>
        <c:idx val="1"/>
      </c:pivotFmt>
      <c:pivotFmt>
        <c:idx val="2"/>
        <c:marker>
          <c:symbol val="none"/>
        </c:marker>
        <c:dLbl>
          <c:idx val="0"/>
          <c:showLegendKey val="0"/>
          <c:showVal val="1"/>
          <c:showCatName val="0"/>
          <c:showSerName val="0"/>
          <c:showPercent val="0"/>
          <c:showBubbleSize val="0"/>
        </c:dLbl>
      </c:pivotFmt>
      <c:pivotFmt>
        <c:idx val="3"/>
        <c:marker>
          <c:symbol val="none"/>
        </c:marker>
        <c:dLbl>
          <c:idx val="0"/>
          <c:showLegendKey val="0"/>
          <c:showVal val="1"/>
          <c:showCatName val="0"/>
          <c:showSerName val="0"/>
          <c:showPercent val="0"/>
          <c:showBubbleSize val="0"/>
        </c:dLbl>
      </c:pivotFmt>
      <c:pivotFmt>
        <c:idx val="4"/>
        <c:dLbl>
          <c:idx val="0"/>
          <c:showLegendKey val="0"/>
          <c:showVal val="1"/>
          <c:showCatName val="0"/>
          <c:showSerName val="0"/>
          <c:showPercent val="0"/>
          <c:showBubbleSize val="0"/>
        </c:dLbl>
      </c:pivotFmt>
      <c:pivotFmt>
        <c:idx val="5"/>
        <c:marker>
          <c:symbol val="none"/>
        </c:marker>
        <c:dLbl>
          <c:idx val="0"/>
          <c:showLegendKey val="0"/>
          <c:showVal val="1"/>
          <c:showCatName val="0"/>
          <c:showSerName val="0"/>
          <c:showPercent val="0"/>
          <c:showBubbleSize val="0"/>
        </c:dLbl>
      </c:pivotFmt>
      <c:pivotFmt>
        <c:idx val="6"/>
      </c:pivotFmt>
      <c:pivotFmt>
        <c:idx val="7"/>
      </c:pivotFmt>
      <c:pivotFmt>
        <c:idx val="8"/>
      </c:pivotFmt>
      <c:pivotFmt>
        <c:idx val="9"/>
      </c:pivotFmt>
      <c:pivotFmt>
        <c:idx val="10"/>
      </c:pivotFmt>
      <c:pivotFmt>
        <c:idx val="11"/>
      </c:pivotFmt>
      <c:pivotFmt>
        <c:idx val="12"/>
        <c:marker>
          <c:symbol val="none"/>
        </c:marker>
        <c:dLbl>
          <c:idx val="0"/>
          <c:showLegendKey val="0"/>
          <c:showVal val="1"/>
          <c:showCatName val="0"/>
          <c:showSerName val="0"/>
          <c:showPercent val="0"/>
          <c:showBubbleSize val="0"/>
        </c:dLbl>
      </c:pivotFmt>
      <c:pivotFmt>
        <c:idx val="13"/>
        <c:marker>
          <c:symbol val="none"/>
        </c:marker>
        <c:dLbl>
          <c:idx val="0"/>
          <c:showLegendKey val="0"/>
          <c:showVal val="1"/>
          <c:showCatName val="0"/>
          <c:showSerName val="0"/>
          <c:showPercent val="0"/>
          <c:showBubbleSize val="0"/>
        </c:dLbl>
      </c:pivotFmt>
      <c:pivotFmt>
        <c:idx val="14"/>
        <c:marker>
          <c:symbol val="none"/>
        </c:marker>
        <c:dLbl>
          <c:idx val="0"/>
          <c:spPr/>
          <c:txPr>
            <a:bodyPr/>
            <a:lstStyle/>
            <a:p>
              <a:pPr>
                <a:defRPr/>
              </a:pPr>
              <a:endParaRPr lang="en-US"/>
            </a:p>
          </c:txPr>
          <c:showLegendKey val="0"/>
          <c:showVal val="1"/>
          <c:showCatName val="0"/>
          <c:showSerName val="0"/>
          <c:showPercent val="0"/>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
        <c:idx val="18"/>
        <c:marker>
          <c:symbol val="none"/>
        </c:marker>
        <c:dLbl>
          <c:idx val="0"/>
          <c:spPr/>
          <c:txPr>
            <a:bodyPr/>
            <a:lstStyle/>
            <a:p>
              <a:pPr>
                <a:defRPr/>
              </a:pPr>
              <a:endParaRPr lang="en-US"/>
            </a:p>
          </c:txPr>
          <c:showLegendKey val="0"/>
          <c:showVal val="1"/>
          <c:showCatName val="0"/>
          <c:showSerName val="0"/>
          <c:showPercent val="0"/>
          <c:showBubbleSize val="0"/>
        </c:dLbl>
      </c:pivotFmt>
      <c:pivotFmt>
        <c:idx val="19"/>
        <c:marker>
          <c:symbol val="none"/>
        </c:marker>
        <c:dLbl>
          <c:idx val="0"/>
          <c:spPr/>
          <c:txPr>
            <a:bodyPr/>
            <a:lstStyle/>
            <a:p>
              <a:pPr>
                <a:defRPr/>
              </a:pPr>
              <a:endParaRPr lang="en-US"/>
            </a:p>
          </c:txPr>
          <c:showLegendKey val="0"/>
          <c:showVal val="1"/>
          <c:showCatName val="0"/>
          <c:showSerName val="0"/>
          <c:showPercent val="0"/>
          <c:showBubbleSize val="0"/>
        </c:dLbl>
      </c:pivotFmt>
      <c:pivotFmt>
        <c:idx val="20"/>
        <c:marker>
          <c:symbol val="none"/>
        </c:marker>
        <c:dLbl>
          <c:idx val="0"/>
          <c:spPr/>
          <c:txPr>
            <a:bodyPr/>
            <a:lstStyle/>
            <a:p>
              <a:pPr>
                <a:defRPr/>
              </a:pPr>
              <a:endParaRPr lang="en-US"/>
            </a:p>
          </c:txPr>
          <c:showLegendKey val="0"/>
          <c:showVal val="1"/>
          <c:showCatName val="0"/>
          <c:showSerName val="0"/>
          <c:showPercent val="0"/>
          <c:showBubbleSize val="0"/>
        </c:dLbl>
      </c:pivotFmt>
      <c:pivotFmt>
        <c:idx val="21"/>
        <c:marker>
          <c:symbol val="none"/>
        </c:marker>
        <c:dLbl>
          <c:idx val="0"/>
          <c:spPr/>
          <c:txPr>
            <a:bodyPr/>
            <a:lstStyle/>
            <a:p>
              <a:pPr>
                <a:defRPr/>
              </a:pPr>
              <a:endParaRPr lang="en-US"/>
            </a:p>
          </c:txPr>
          <c:showLegendKey val="0"/>
          <c:showVal val="1"/>
          <c:showCatName val="0"/>
          <c:showSerName val="0"/>
          <c:showPercent val="0"/>
          <c:showBubbleSize val="0"/>
        </c:dLbl>
      </c:pivotFmt>
      <c:pivotFmt>
        <c:idx val="22"/>
        <c:marker>
          <c:symbol val="none"/>
        </c:marker>
        <c:dLbl>
          <c:idx val="0"/>
          <c:spPr/>
          <c:txPr>
            <a:bodyPr/>
            <a:lstStyle/>
            <a:p>
              <a:pPr>
                <a:defRPr/>
              </a:pPr>
              <a:endParaRPr lang="en-US"/>
            </a:p>
          </c:txPr>
          <c:showLegendKey val="0"/>
          <c:showVal val="1"/>
          <c:showCatName val="0"/>
          <c:showSerName val="0"/>
          <c:showPercent val="0"/>
          <c:showBubbleSize val="0"/>
        </c:dLbl>
      </c:pivotFmt>
      <c:pivotFmt>
        <c:idx val="23"/>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'CHILD MICRO SUPP'!$B$1:$B$2</c:f>
              <c:strCache>
                <c:ptCount val="1"/>
                <c:pt idx="0">
                  <c:v>CDHS 2000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'CHILD MICRO SUPP'!$A$3:$A$4</c:f>
              <c:strCache>
                <c:ptCount val="2"/>
                <c:pt idx="0">
                  <c:v>Vitamin A</c:v>
                </c:pt>
                <c:pt idx="1">
                  <c:v>Deworming</c:v>
                </c:pt>
              </c:strCache>
            </c:strRef>
          </c:cat>
          <c:val>
            <c:numRef>
              <c:f>'CHILD MICRO SUPP'!$B$3:$B$4</c:f>
              <c:numCache>
                <c:formatCode>General</c:formatCode>
                <c:ptCount val="2"/>
                <c:pt idx="0">
                  <c:v>28.5</c:v>
                </c:pt>
              </c:numCache>
            </c:numRef>
          </c:val>
        </c:ser>
        <c:ser>
          <c:idx val="1"/>
          <c:order val="1"/>
          <c:tx>
            <c:strRef>
              <c:f>'CHILD MICRO SUPP'!$C$1:$C$2</c:f>
              <c:strCache>
                <c:ptCount val="1"/>
                <c:pt idx="0">
                  <c:v>CDHS 2005</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'CHILD MICRO SUPP'!$A$3:$A$4</c:f>
              <c:strCache>
                <c:ptCount val="2"/>
                <c:pt idx="0">
                  <c:v>Vitamin A</c:v>
                </c:pt>
                <c:pt idx="1">
                  <c:v>Deworming</c:v>
                </c:pt>
              </c:strCache>
            </c:strRef>
          </c:cat>
          <c:val>
            <c:numRef>
              <c:f>'CHILD MICRO SUPP'!$C$3:$C$4</c:f>
              <c:numCache>
                <c:formatCode>General</c:formatCode>
                <c:ptCount val="2"/>
                <c:pt idx="0">
                  <c:v>34.5</c:v>
                </c:pt>
                <c:pt idx="1">
                  <c:v>30</c:v>
                </c:pt>
              </c:numCache>
            </c:numRef>
          </c:val>
        </c:ser>
        <c:ser>
          <c:idx val="2"/>
          <c:order val="2"/>
          <c:tx>
            <c:strRef>
              <c:f>'CHILD MICRO SUPP'!$D$1:$D$2</c:f>
              <c:strCache>
                <c:ptCount val="1"/>
                <c:pt idx="0">
                  <c:v>CAS 2008</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'CHILD MICRO SUPP'!$A$3:$A$4</c:f>
              <c:strCache>
                <c:ptCount val="2"/>
                <c:pt idx="0">
                  <c:v>Vitamin A</c:v>
                </c:pt>
                <c:pt idx="1">
                  <c:v>Deworming</c:v>
                </c:pt>
              </c:strCache>
            </c:strRef>
          </c:cat>
          <c:val>
            <c:numRef>
              <c:f>'CHILD MICRO SUPP'!$D$3:$D$4</c:f>
              <c:numCache>
                <c:formatCode>General</c:formatCode>
                <c:ptCount val="2"/>
                <c:pt idx="0">
                  <c:v>59.4</c:v>
                </c:pt>
                <c:pt idx="1">
                  <c:v>39.9</c:v>
                </c:pt>
              </c:numCache>
            </c:numRef>
          </c:val>
        </c:ser>
        <c:ser>
          <c:idx val="3"/>
          <c:order val="3"/>
          <c:tx>
            <c:strRef>
              <c:f>'CHILD MICRO SUPP'!$E$1:$E$2</c:f>
              <c:strCache>
                <c:ptCount val="1"/>
                <c:pt idx="0">
                  <c:v>CSES 2009</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'CHILD MICRO SUPP'!$A$3:$A$4</c:f>
              <c:strCache>
                <c:ptCount val="2"/>
                <c:pt idx="0">
                  <c:v>Vitamin A</c:v>
                </c:pt>
                <c:pt idx="1">
                  <c:v>Deworming</c:v>
                </c:pt>
              </c:strCache>
            </c:strRef>
          </c:cat>
          <c:val>
            <c:numRef>
              <c:f>'CHILD MICRO SUPP'!$E$3:$E$4</c:f>
              <c:numCache>
                <c:formatCode>General</c:formatCode>
                <c:ptCount val="2"/>
                <c:pt idx="0">
                  <c:v>47.2</c:v>
                </c:pt>
                <c:pt idx="1">
                  <c:v>56.6</c:v>
                </c:pt>
              </c:numCache>
            </c:numRef>
          </c:val>
        </c:ser>
        <c:ser>
          <c:idx val="4"/>
          <c:order val="4"/>
          <c:tx>
            <c:strRef>
              <c:f>'CHILD MICRO SUPP'!$F$1:$F$2</c:f>
              <c:strCache>
                <c:ptCount val="1"/>
                <c:pt idx="0">
                  <c:v>CDHS 2010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'CHILD MICRO SUPP'!$A$3:$A$4</c:f>
              <c:strCache>
                <c:ptCount val="2"/>
                <c:pt idx="0">
                  <c:v>Vitamin A</c:v>
                </c:pt>
                <c:pt idx="1">
                  <c:v>Deworming</c:v>
                </c:pt>
              </c:strCache>
            </c:strRef>
          </c:cat>
          <c:val>
            <c:numRef>
              <c:f>'CHILD MICRO SUPP'!$F$3:$F$4</c:f>
              <c:numCache>
                <c:formatCode>General</c:formatCode>
                <c:ptCount val="2"/>
                <c:pt idx="0">
                  <c:v>70.900000000000006</c:v>
                </c:pt>
                <c:pt idx="1">
                  <c:v>61.2</c:v>
                </c:pt>
              </c:numCache>
            </c:numRef>
          </c:val>
        </c:ser>
        <c:dLbls>
          <c:showLegendKey val="0"/>
          <c:showVal val="1"/>
          <c:showCatName val="0"/>
          <c:showSerName val="0"/>
          <c:showPercent val="0"/>
          <c:showBubbleSize val="0"/>
        </c:dLbls>
        <c:gapWidth val="150"/>
        <c:overlap val="-25"/>
        <c:axId val="82031744"/>
        <c:axId val="82033280"/>
      </c:barChart>
      <c:catAx>
        <c:axId val="82031744"/>
        <c:scaling>
          <c:orientation val="minMax"/>
        </c:scaling>
        <c:delete val="0"/>
        <c:axPos val="b"/>
        <c:majorTickMark val="none"/>
        <c:minorTickMark val="none"/>
        <c:tickLblPos val="nextTo"/>
        <c:txPr>
          <a:bodyPr/>
          <a:lstStyle/>
          <a:p>
            <a:pPr>
              <a:defRPr sz="800"/>
            </a:pPr>
            <a:endParaRPr lang="en-US"/>
          </a:p>
        </c:txPr>
        <c:crossAx val="82033280"/>
        <c:crosses val="autoZero"/>
        <c:auto val="1"/>
        <c:lblAlgn val="ctr"/>
        <c:lblOffset val="100"/>
        <c:noMultiLvlLbl val="0"/>
      </c:catAx>
      <c:valAx>
        <c:axId val="82033280"/>
        <c:scaling>
          <c:orientation val="minMax"/>
        </c:scaling>
        <c:delete val="1"/>
        <c:axPos val="l"/>
        <c:numFmt formatCode="General" sourceLinked="1"/>
        <c:majorTickMark val="out"/>
        <c:minorTickMark val="none"/>
        <c:tickLblPos val="none"/>
        <c:crossAx val="82031744"/>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F382B7FFF4709BE877EE85EF28BF8"/>
        <w:category>
          <w:name w:val="General"/>
          <w:gallery w:val="placeholder"/>
        </w:category>
        <w:types>
          <w:type w:val="bbPlcHdr"/>
        </w:types>
        <w:behaviors>
          <w:behavior w:val="content"/>
        </w:behaviors>
        <w:guid w:val="{2CA38BC5-C78A-4C53-B3C9-7E5A6DB34981}"/>
      </w:docPartPr>
      <w:docPartBody>
        <w:p w:rsidR="003F06C2" w:rsidRDefault="00C45221" w:rsidP="00C45221">
          <w:pPr>
            <w:pStyle w:val="FA6F382B7FFF4709BE877EE85EF28B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45221"/>
    <w:rsid w:val="00216532"/>
    <w:rsid w:val="003F06C2"/>
    <w:rsid w:val="00424764"/>
    <w:rsid w:val="004721D9"/>
    <w:rsid w:val="005D451D"/>
    <w:rsid w:val="005E71B7"/>
    <w:rsid w:val="00696733"/>
    <w:rsid w:val="008840EF"/>
    <w:rsid w:val="008A4B01"/>
    <w:rsid w:val="00BD3E7F"/>
    <w:rsid w:val="00C11565"/>
    <w:rsid w:val="00C45221"/>
    <w:rsid w:val="00CD4880"/>
    <w:rsid w:val="00D06D2A"/>
    <w:rsid w:val="00DB4411"/>
    <w:rsid w:val="00E411A4"/>
    <w:rsid w:val="00EA2000"/>
    <w:rsid w:val="00EB6C7C"/>
    <w:rsid w:val="00F4078D"/>
    <w:rsid w:val="00F53C35"/>
    <w:rsid w:val="00F76E56"/>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84A1EAAFC47998ADDFF70340B5A3F">
    <w:name w:val="47184A1EAAFC47998ADDFF70340B5A3F"/>
    <w:rsid w:val="00C45221"/>
  </w:style>
  <w:style w:type="paragraph" w:customStyle="1" w:styleId="FA6F382B7FFF4709BE877EE85EF28BF8">
    <w:name w:val="FA6F382B7FFF4709BE877EE85EF28BF8"/>
    <w:rsid w:val="00C45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9D44C-FCDE-429A-89C2-1537A907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Nutrition Fact Sheet - Cambodia</vt:lpstr>
    </vt:vector>
  </TitlesOfParts>
  <Company>The World Bank Group</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Fact Sheet - Cambodia</dc:title>
  <dc:creator>jc</dc:creator>
  <cp:lastModifiedBy>Joel Conkle</cp:lastModifiedBy>
  <cp:revision>13</cp:revision>
  <cp:lastPrinted>2011-10-25T04:58:00Z</cp:lastPrinted>
  <dcterms:created xsi:type="dcterms:W3CDTF">2013-03-11T03:52:00Z</dcterms:created>
  <dcterms:modified xsi:type="dcterms:W3CDTF">2013-03-26T03:36:00Z</dcterms:modified>
</cp:coreProperties>
</file>